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江油市行政审批局</w:t>
      </w:r>
    </w:p>
    <w:p>
      <w:pPr>
        <w:spacing w:line="600" w:lineRule="exact"/>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2017年部门决算编制说明</w:t>
      </w:r>
    </w:p>
    <w:p>
      <w:pPr>
        <w:spacing w:line="600" w:lineRule="exact"/>
        <w:jc w:val="center"/>
        <w:rPr>
          <w:rFonts w:ascii="方正小标宋简体" w:hAnsi="宋体" w:eastAsia="方正小标宋简体"/>
          <w:color w:val="000000"/>
          <w:sz w:val="36"/>
          <w:szCs w:val="36"/>
        </w:rPr>
      </w:pPr>
    </w:p>
    <w:p>
      <w:pPr>
        <w:spacing w:line="360" w:lineRule="auto"/>
        <w:ind w:firstLine="482" w:firstLineChars="200"/>
        <w:rPr>
          <w:rFonts w:ascii="新宋体" w:hAnsi="新宋体" w:eastAsia="新宋体"/>
          <w:b/>
          <w:color w:val="000000"/>
          <w:sz w:val="24"/>
        </w:rPr>
      </w:pPr>
      <w:r>
        <w:rPr>
          <w:rFonts w:hint="eastAsia" w:ascii="新宋体" w:hAnsi="新宋体" w:eastAsia="新宋体"/>
          <w:b/>
          <w:color w:val="000000"/>
          <w:sz w:val="24"/>
        </w:rPr>
        <w:t>一、基本职能及主要工作</w:t>
      </w:r>
    </w:p>
    <w:p>
      <w:pPr>
        <w:autoSpaceDE w:val="0"/>
        <w:autoSpaceDN w:val="0"/>
        <w:adjustRightInd w:val="0"/>
        <w:spacing w:line="360" w:lineRule="auto"/>
        <w:ind w:firstLine="482" w:firstLineChars="200"/>
        <w:rPr>
          <w:rFonts w:ascii="新宋体" w:hAnsi="新宋体" w:eastAsia="新宋体"/>
          <w:b/>
          <w:bCs/>
          <w:color w:val="000000"/>
          <w:sz w:val="24"/>
        </w:rPr>
      </w:pPr>
      <w:r>
        <w:rPr>
          <w:rFonts w:hint="eastAsia" w:ascii="新宋体" w:hAnsi="新宋体" w:eastAsia="新宋体"/>
          <w:b/>
          <w:bCs/>
          <w:color w:val="000000"/>
          <w:sz w:val="24"/>
        </w:rPr>
        <w:t>（一）主要职能。</w:t>
      </w:r>
    </w:p>
    <w:p>
      <w:pPr>
        <w:autoSpaceDE w:val="0"/>
        <w:autoSpaceDN w:val="0"/>
        <w:adjustRightInd w:val="0"/>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1、将市发展和改革局、市交通运输局等</w:t>
      </w:r>
      <w:r>
        <w:rPr>
          <w:rFonts w:ascii="新宋体" w:hAnsi="新宋体" w:eastAsia="新宋体" w:cs="仿宋_GB2312"/>
          <w:kern w:val="0"/>
          <w:sz w:val="24"/>
        </w:rPr>
        <w:t xml:space="preserve"> </w:t>
      </w:r>
      <w:r>
        <w:rPr>
          <w:rFonts w:ascii="新宋体" w:hAnsi="新宋体" w:eastAsia="新宋体"/>
          <w:kern w:val="0"/>
          <w:sz w:val="24"/>
        </w:rPr>
        <w:t xml:space="preserve">24 </w:t>
      </w:r>
      <w:r>
        <w:rPr>
          <w:rFonts w:hint="eastAsia" w:ascii="新宋体" w:hAnsi="新宋体" w:eastAsia="新宋体" w:cs="仿宋_GB2312"/>
          <w:kern w:val="0"/>
          <w:sz w:val="24"/>
        </w:rPr>
        <w:t>个部门（含盐政稽查所、残联）承担的主要行政许可事项和其他事项职责划入市行政审批局。</w:t>
      </w:r>
    </w:p>
    <w:p>
      <w:pPr>
        <w:autoSpaceDE w:val="0"/>
        <w:autoSpaceDN w:val="0"/>
        <w:adjustRightInd w:val="0"/>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2、将原市人民政府政务服务中心管委会的职责划入市行政审批局。</w:t>
      </w:r>
    </w:p>
    <w:p>
      <w:pPr>
        <w:spacing w:line="360" w:lineRule="auto"/>
        <w:ind w:firstLine="480" w:firstLineChars="200"/>
        <w:rPr>
          <w:rFonts w:ascii="新宋体" w:hAnsi="新宋体" w:eastAsia="新宋体" w:cs="仿宋_GB2312"/>
          <w:bCs/>
          <w:sz w:val="24"/>
        </w:rPr>
      </w:pPr>
      <w:r>
        <w:rPr>
          <w:rFonts w:hint="eastAsia" w:ascii="新宋体" w:hAnsi="新宋体" w:eastAsia="新宋体" w:cs="仿宋_GB2312"/>
          <w:kern w:val="0"/>
          <w:sz w:val="24"/>
        </w:rPr>
        <w:t>3、取消已由市政府公布取消的行政许可事项。</w:t>
      </w:r>
    </w:p>
    <w:p>
      <w:pPr>
        <w:pStyle w:val="3"/>
        <w:adjustRightInd w:val="0"/>
        <w:snapToGrid w:val="0"/>
        <w:spacing w:before="93" w:line="360" w:lineRule="auto"/>
        <w:ind w:firstLine="506" w:firstLineChars="210"/>
        <w:rPr>
          <w:rFonts w:ascii="新宋体" w:hAnsi="新宋体" w:eastAsia="新宋体"/>
          <w:b/>
          <w:bCs/>
          <w:color w:val="000000"/>
          <w:sz w:val="24"/>
        </w:rPr>
      </w:pPr>
      <w:r>
        <w:rPr>
          <w:rFonts w:hint="eastAsia" w:ascii="新宋体" w:hAnsi="新宋体" w:eastAsia="新宋体"/>
          <w:b/>
          <w:bCs/>
          <w:color w:val="000000"/>
          <w:sz w:val="24"/>
        </w:rPr>
        <w:t>（二）2017年重点工作完成情况。</w:t>
      </w:r>
    </w:p>
    <w:p>
      <w:pPr>
        <w:autoSpaceDE w:val="0"/>
        <w:autoSpaceDN w:val="0"/>
        <w:adjustRightInd w:val="0"/>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1、强化理论武装，狠抓干部队伍建设</w:t>
      </w:r>
    </w:p>
    <w:p>
      <w:pPr>
        <w:autoSpaceDE w:val="0"/>
        <w:autoSpaceDN w:val="0"/>
        <w:adjustRightInd w:val="0"/>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2、加快职能转变，系统推进行政审批制度改革</w:t>
      </w:r>
    </w:p>
    <w:p>
      <w:pPr>
        <w:autoSpaceDE w:val="0"/>
        <w:autoSpaceDN w:val="0"/>
        <w:adjustRightInd w:val="0"/>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3、推进智慧政务，构建规范、便民、实用、高效的网上政务服务平台</w:t>
      </w:r>
    </w:p>
    <w:p>
      <w:pPr>
        <w:autoSpaceDE w:val="0"/>
        <w:autoSpaceDN w:val="0"/>
        <w:adjustRightInd w:val="0"/>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4、完善交易制度，加快公共资源交易平台标准化建设</w:t>
      </w:r>
    </w:p>
    <w:p>
      <w:pPr>
        <w:autoSpaceDE w:val="0"/>
        <w:autoSpaceDN w:val="0"/>
        <w:adjustRightInd w:val="0"/>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5、优化政务服务，建设人民满意的服务型政府</w:t>
      </w:r>
    </w:p>
    <w:p>
      <w:pPr>
        <w:spacing w:line="360" w:lineRule="auto"/>
        <w:ind w:firstLine="482" w:firstLineChars="200"/>
        <w:rPr>
          <w:rFonts w:ascii="新宋体" w:hAnsi="新宋体" w:eastAsia="新宋体"/>
          <w:b/>
          <w:color w:val="000000"/>
          <w:sz w:val="24"/>
        </w:rPr>
      </w:pPr>
      <w:r>
        <w:rPr>
          <w:rFonts w:hint="eastAsia" w:ascii="新宋体" w:hAnsi="新宋体" w:eastAsia="新宋体"/>
          <w:b/>
          <w:color w:val="000000"/>
          <w:sz w:val="24"/>
        </w:rPr>
        <w:t>二、部门概况</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江油市行政审批局是行政单位，内设10个股室，包括：办公室、政策法规股、综合业务股、商事登记审批股、投资项目审批股、城管交通审批股、涉农事务审批股、文教卫生审批股、社会事务审批股、政务督查股。</w:t>
      </w:r>
    </w:p>
    <w:p>
      <w:pPr>
        <w:spacing w:line="360" w:lineRule="auto"/>
        <w:ind w:firstLine="480" w:firstLineChars="200"/>
        <w:rPr>
          <w:rFonts w:ascii="新宋体" w:hAnsi="新宋体" w:eastAsia="新宋体" w:cs="新宋体"/>
          <w:sz w:val="24"/>
        </w:rPr>
      </w:pPr>
      <w:r>
        <w:rPr>
          <w:rFonts w:ascii="新宋体" w:hAnsi="新宋体" w:eastAsia="新宋体" w:cs="新宋体"/>
          <w:sz w:val="24"/>
        </w:rPr>
        <w:t>截至201</w:t>
      </w:r>
      <w:r>
        <w:rPr>
          <w:rFonts w:hint="eastAsia" w:ascii="新宋体" w:hAnsi="新宋体" w:eastAsia="新宋体" w:cs="新宋体"/>
          <w:sz w:val="24"/>
        </w:rPr>
        <w:t>7</w:t>
      </w:r>
      <w:r>
        <w:rPr>
          <w:rFonts w:ascii="新宋体" w:hAnsi="新宋体" w:eastAsia="新宋体" w:cs="新宋体"/>
          <w:sz w:val="24"/>
        </w:rPr>
        <w:t>年末，共有</w:t>
      </w:r>
      <w:r>
        <w:rPr>
          <w:rFonts w:hint="eastAsia" w:ascii="新宋体" w:hAnsi="新宋体" w:eastAsia="新宋体" w:cs="新宋体"/>
          <w:sz w:val="24"/>
        </w:rPr>
        <w:t>行政</w:t>
      </w:r>
      <w:r>
        <w:rPr>
          <w:rFonts w:ascii="新宋体" w:hAnsi="新宋体" w:eastAsia="新宋体" w:cs="新宋体"/>
          <w:sz w:val="24"/>
        </w:rPr>
        <w:t>编制</w:t>
      </w:r>
      <w:r>
        <w:rPr>
          <w:rFonts w:hint="eastAsia" w:ascii="新宋体" w:hAnsi="新宋体" w:eastAsia="新宋体" w:cs="新宋体"/>
          <w:sz w:val="24"/>
        </w:rPr>
        <w:t>30</w:t>
      </w:r>
      <w:r>
        <w:rPr>
          <w:rFonts w:ascii="新宋体" w:hAnsi="新宋体" w:eastAsia="新宋体" w:cs="新宋体"/>
          <w:sz w:val="24"/>
        </w:rPr>
        <w:t>名，实有在职人员</w:t>
      </w:r>
      <w:r>
        <w:rPr>
          <w:rFonts w:hint="eastAsia" w:ascii="新宋体" w:hAnsi="新宋体" w:eastAsia="新宋体" w:cs="新宋体"/>
          <w:sz w:val="24"/>
        </w:rPr>
        <w:t>29</w:t>
      </w:r>
      <w:r>
        <w:rPr>
          <w:rFonts w:ascii="新宋体" w:hAnsi="新宋体" w:eastAsia="新宋体" w:cs="新宋体"/>
          <w:sz w:val="24"/>
        </w:rPr>
        <w:t>人</w:t>
      </w:r>
      <w:r>
        <w:rPr>
          <w:rFonts w:hint="eastAsia" w:ascii="新宋体" w:hAnsi="新宋体" w:eastAsia="新宋体" w:cs="新宋体"/>
          <w:sz w:val="24"/>
        </w:rPr>
        <w:t>，</w:t>
      </w:r>
      <w:r>
        <w:rPr>
          <w:rFonts w:ascii="新宋体" w:hAnsi="新宋体" w:eastAsia="新宋体" w:cs="新宋体"/>
          <w:sz w:val="24"/>
        </w:rPr>
        <w:t>退休人员</w:t>
      </w:r>
      <w:r>
        <w:rPr>
          <w:rFonts w:hint="eastAsia" w:ascii="新宋体" w:hAnsi="新宋体" w:eastAsia="新宋体" w:cs="新宋体"/>
          <w:sz w:val="24"/>
        </w:rPr>
        <w:t>1</w:t>
      </w:r>
      <w:r>
        <w:rPr>
          <w:rFonts w:ascii="新宋体" w:hAnsi="新宋体" w:eastAsia="新宋体" w:cs="新宋体"/>
          <w:sz w:val="24"/>
        </w:rPr>
        <w:t>人</w:t>
      </w:r>
      <w:r>
        <w:rPr>
          <w:rFonts w:hint="eastAsia" w:ascii="新宋体" w:hAnsi="新宋体" w:eastAsia="新宋体" w:cs="新宋体"/>
          <w:sz w:val="24"/>
        </w:rPr>
        <w:t>。</w:t>
      </w:r>
    </w:p>
    <w:p>
      <w:pPr>
        <w:spacing w:line="360" w:lineRule="auto"/>
        <w:ind w:firstLine="482" w:firstLineChars="200"/>
        <w:rPr>
          <w:rFonts w:ascii="新宋体" w:hAnsi="新宋体" w:eastAsia="新宋体"/>
          <w:b/>
          <w:color w:val="000000"/>
          <w:sz w:val="24"/>
        </w:rPr>
      </w:pPr>
      <w:r>
        <w:rPr>
          <w:rFonts w:hint="eastAsia" w:ascii="新宋体" w:hAnsi="新宋体" w:eastAsia="新宋体"/>
          <w:b/>
          <w:color w:val="000000"/>
          <w:sz w:val="24"/>
        </w:rPr>
        <w:t>三、收支决算总体情况说明</w:t>
      </w:r>
    </w:p>
    <w:p>
      <w:pPr>
        <w:spacing w:line="360" w:lineRule="auto"/>
        <w:ind w:firstLine="640"/>
        <w:rPr>
          <w:rFonts w:ascii="新宋体" w:hAnsi="新宋体" w:eastAsia="新宋体" w:cs="新宋体"/>
          <w:sz w:val="24"/>
        </w:rPr>
      </w:pPr>
      <w:r>
        <w:rPr>
          <w:rFonts w:hint="eastAsia" w:ascii="新宋体" w:hAnsi="新宋体" w:eastAsia="新宋体"/>
          <w:color w:val="000000"/>
          <w:sz w:val="24"/>
        </w:rPr>
        <w:t>2017年行政审批局本年收入合计739.26万元，其中：</w:t>
      </w:r>
      <w:r>
        <w:rPr>
          <w:rFonts w:hint="eastAsia" w:ascii="新宋体" w:hAnsi="新宋体" w:eastAsia="新宋体" w:cs="新宋体"/>
          <w:sz w:val="24"/>
        </w:rPr>
        <w:t>一般公共预算财政拨款收入739.17万元，占99.99%；其他收入0.09元，占0.01%。</w:t>
      </w:r>
    </w:p>
    <w:p>
      <w:pPr>
        <w:spacing w:line="360" w:lineRule="auto"/>
        <w:ind w:firstLine="640"/>
        <w:rPr>
          <w:rFonts w:ascii="新宋体" w:hAnsi="新宋体" w:eastAsia="新宋体"/>
          <w:color w:val="000000"/>
          <w:sz w:val="24"/>
        </w:rPr>
      </w:pPr>
      <w:r>
        <w:rPr>
          <w:rFonts w:ascii="新宋体" w:hAnsi="新宋体" w:eastAsia="新宋体"/>
          <w:color w:val="000000"/>
          <w:sz w:val="24"/>
        </w:rPr>
        <w:drawing>
          <wp:anchor distT="0" distB="0" distL="114300" distR="114300" simplePos="0" relativeHeight="251658240" behindDoc="1" locked="0" layoutInCell="1" allowOverlap="1">
            <wp:simplePos x="0" y="0"/>
            <wp:positionH relativeFrom="column">
              <wp:posOffset>427990</wp:posOffset>
            </wp:positionH>
            <wp:positionV relativeFrom="paragraph">
              <wp:posOffset>84455</wp:posOffset>
            </wp:positionV>
            <wp:extent cx="4505325" cy="2609850"/>
            <wp:effectExtent l="19050" t="0" r="9525"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360" w:lineRule="auto"/>
        <w:ind w:firstLine="640"/>
        <w:rPr>
          <w:rFonts w:ascii="新宋体" w:hAnsi="新宋体" w:eastAsia="新宋体"/>
          <w:color w:val="000000"/>
          <w:sz w:val="24"/>
        </w:rPr>
      </w:pPr>
    </w:p>
    <w:p>
      <w:pPr>
        <w:spacing w:line="360" w:lineRule="auto"/>
        <w:ind w:firstLine="640"/>
        <w:rPr>
          <w:rFonts w:ascii="新宋体" w:hAnsi="新宋体" w:eastAsia="新宋体"/>
          <w:color w:val="000000"/>
          <w:sz w:val="24"/>
        </w:rPr>
      </w:pPr>
    </w:p>
    <w:p>
      <w:pPr>
        <w:spacing w:line="360" w:lineRule="auto"/>
        <w:rPr>
          <w:rFonts w:ascii="新宋体" w:hAnsi="新宋体" w:eastAsia="新宋体"/>
          <w:color w:val="000000"/>
          <w:sz w:val="24"/>
        </w:rPr>
      </w:pPr>
    </w:p>
    <w:p>
      <w:pPr>
        <w:spacing w:line="360" w:lineRule="auto"/>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2017年行政审批局本年支出合计732.35万元，其中：基本支出366.27万元，占50.01%；项目支出366.08万元，占49.99%。</w:t>
      </w:r>
    </w:p>
    <w:p>
      <w:pPr>
        <w:spacing w:line="360" w:lineRule="auto"/>
        <w:ind w:firstLine="640"/>
        <w:rPr>
          <w:rFonts w:ascii="新宋体" w:hAnsi="新宋体" w:eastAsia="新宋体"/>
          <w:color w:val="000000"/>
          <w:sz w:val="24"/>
        </w:rPr>
      </w:pPr>
      <w:r>
        <w:rPr>
          <w:rFonts w:hint="eastAsia" w:ascii="新宋体" w:hAnsi="新宋体" w:eastAsia="新宋体"/>
          <w:color w:val="000000"/>
          <w:sz w:val="24"/>
        </w:rPr>
        <w:drawing>
          <wp:anchor distT="0" distB="0" distL="114300" distR="114300" simplePos="0" relativeHeight="251659264" behindDoc="1" locked="0" layoutInCell="1" allowOverlap="1">
            <wp:simplePos x="0" y="0"/>
            <wp:positionH relativeFrom="column">
              <wp:posOffset>342900</wp:posOffset>
            </wp:positionH>
            <wp:positionV relativeFrom="paragraph">
              <wp:posOffset>57150</wp:posOffset>
            </wp:positionV>
            <wp:extent cx="5105400" cy="3276600"/>
            <wp:effectExtent l="19050" t="0" r="19050"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360" w:lineRule="auto"/>
        <w:ind w:firstLine="640"/>
        <w:rPr>
          <w:rFonts w:ascii="新宋体" w:hAnsi="新宋体" w:eastAsia="新宋体"/>
          <w:color w:val="000000"/>
          <w:sz w:val="24"/>
        </w:rPr>
      </w:pPr>
    </w:p>
    <w:p>
      <w:pPr>
        <w:spacing w:line="360" w:lineRule="auto"/>
        <w:ind w:firstLine="640"/>
        <w:rPr>
          <w:rFonts w:ascii="新宋体" w:hAnsi="新宋体" w:eastAsia="新宋体"/>
          <w:color w:val="000000"/>
          <w:sz w:val="24"/>
        </w:rPr>
      </w:pPr>
    </w:p>
    <w:p>
      <w:pPr>
        <w:spacing w:line="360" w:lineRule="auto"/>
        <w:ind w:firstLine="640"/>
        <w:rPr>
          <w:rFonts w:ascii="新宋体" w:hAnsi="新宋体" w:eastAsia="新宋体"/>
          <w:color w:val="000000"/>
          <w:sz w:val="24"/>
        </w:rPr>
      </w:pPr>
    </w:p>
    <w:p>
      <w:pPr>
        <w:spacing w:line="360" w:lineRule="auto"/>
        <w:ind w:firstLine="640"/>
        <w:rPr>
          <w:rFonts w:ascii="新宋体" w:hAnsi="新宋体" w:eastAsia="新宋体"/>
          <w:color w:val="000000"/>
          <w:sz w:val="24"/>
        </w:rPr>
      </w:pPr>
    </w:p>
    <w:p>
      <w:pPr>
        <w:spacing w:line="360" w:lineRule="auto"/>
        <w:ind w:firstLine="640"/>
        <w:rPr>
          <w:rFonts w:ascii="新宋体" w:hAnsi="新宋体" w:eastAsia="新宋体"/>
          <w:color w:val="000000"/>
          <w:sz w:val="24"/>
        </w:rPr>
      </w:pPr>
    </w:p>
    <w:p>
      <w:pPr>
        <w:spacing w:line="360" w:lineRule="auto"/>
        <w:ind w:firstLine="64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2" w:firstLineChars="200"/>
        <w:rPr>
          <w:rFonts w:ascii="新宋体" w:hAnsi="新宋体" w:eastAsia="新宋体"/>
          <w:b/>
          <w:color w:val="000000"/>
          <w:sz w:val="24"/>
        </w:rPr>
      </w:pPr>
      <w:r>
        <w:rPr>
          <w:rFonts w:hint="eastAsia" w:ascii="新宋体" w:hAnsi="新宋体" w:eastAsia="新宋体"/>
          <w:b/>
          <w:color w:val="000000"/>
          <w:sz w:val="24"/>
        </w:rPr>
        <w:t>四、财政拨款收入支出决算总体情况说明</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2017年度财政拨款收入总计739.17万元、支出总计732.26万元。与2016年相比，财政拨款收入总计增加228.76万元，增长44.82%、支出总计各增加205.93万元，增长39.13%。</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drawing>
          <wp:anchor distT="0" distB="0" distL="114300" distR="114300" simplePos="0" relativeHeight="251660288" behindDoc="1" locked="0" layoutInCell="1" allowOverlap="1">
            <wp:simplePos x="0" y="0"/>
            <wp:positionH relativeFrom="column">
              <wp:posOffset>428625</wp:posOffset>
            </wp:positionH>
            <wp:positionV relativeFrom="paragraph">
              <wp:posOffset>85725</wp:posOffset>
            </wp:positionV>
            <wp:extent cx="4438650" cy="2886075"/>
            <wp:effectExtent l="19050" t="0" r="19050"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2" w:firstLineChars="200"/>
        <w:rPr>
          <w:rFonts w:ascii="新宋体" w:hAnsi="新宋体" w:eastAsia="新宋体"/>
          <w:b/>
          <w:color w:val="000000"/>
          <w:sz w:val="24"/>
        </w:rPr>
      </w:pPr>
      <w:r>
        <w:rPr>
          <w:rFonts w:hint="eastAsia" w:ascii="新宋体" w:hAnsi="新宋体" w:eastAsia="新宋体"/>
          <w:b/>
          <w:color w:val="000000"/>
          <w:sz w:val="24"/>
        </w:rPr>
        <w:t>五、一般公共预算财政拨款支出决算情况说明</w:t>
      </w:r>
    </w:p>
    <w:p>
      <w:pPr>
        <w:spacing w:line="360" w:lineRule="auto"/>
        <w:ind w:firstLine="482" w:firstLineChars="200"/>
        <w:rPr>
          <w:rFonts w:ascii="新宋体" w:hAnsi="新宋体" w:eastAsia="新宋体"/>
          <w:b/>
          <w:color w:val="000000"/>
          <w:sz w:val="24"/>
        </w:rPr>
      </w:pPr>
      <w:r>
        <w:rPr>
          <w:rFonts w:hint="eastAsia" w:ascii="新宋体" w:hAnsi="新宋体" w:eastAsia="新宋体"/>
          <w:b/>
          <w:color w:val="000000"/>
          <w:sz w:val="24"/>
        </w:rPr>
        <w:t>（一）一般公共预算财政拨款支出决算总体情况</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2017年度一般公共预算财政拨款支出732.26万元，占本年支出合计的99.99%。与2016年相比，一般公共预算财政拨款增加205.93万元，增长39.13%。</w:t>
      </w:r>
    </w:p>
    <w:p>
      <w:pPr>
        <w:spacing w:line="360" w:lineRule="auto"/>
        <w:rPr>
          <w:rFonts w:ascii="新宋体" w:hAnsi="新宋体" w:eastAsia="新宋体"/>
          <w:color w:val="000000"/>
          <w:sz w:val="24"/>
        </w:rPr>
      </w:pPr>
      <w:r>
        <w:rPr>
          <w:rFonts w:hint="eastAsia" w:ascii="新宋体" w:hAnsi="新宋体" w:eastAsia="新宋体"/>
          <w:color w:val="000000"/>
          <w:sz w:val="24"/>
        </w:rPr>
        <w:drawing>
          <wp:anchor distT="0" distB="0" distL="114300" distR="114300" simplePos="0" relativeHeight="251661312" behindDoc="1" locked="0" layoutInCell="1" allowOverlap="1">
            <wp:simplePos x="0" y="0"/>
            <wp:positionH relativeFrom="column">
              <wp:posOffset>114300</wp:posOffset>
            </wp:positionH>
            <wp:positionV relativeFrom="paragraph">
              <wp:posOffset>257175</wp:posOffset>
            </wp:positionV>
            <wp:extent cx="5353050" cy="3333750"/>
            <wp:effectExtent l="19050" t="0" r="19050" b="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2" w:firstLineChars="200"/>
        <w:rPr>
          <w:rFonts w:ascii="新宋体" w:hAnsi="新宋体" w:eastAsia="新宋体"/>
          <w:b/>
          <w:color w:val="000000"/>
          <w:sz w:val="24"/>
        </w:rPr>
      </w:pPr>
      <w:r>
        <w:rPr>
          <w:rFonts w:hint="eastAsia" w:ascii="新宋体" w:hAnsi="新宋体" w:eastAsia="新宋体"/>
          <w:b/>
          <w:color w:val="000000"/>
          <w:sz w:val="24"/>
        </w:rPr>
        <w:t>（二）一般公共预算财政拨款支出决算结构情况</w:t>
      </w:r>
    </w:p>
    <w:p>
      <w:pPr>
        <w:spacing w:line="360" w:lineRule="auto"/>
        <w:ind w:firstLine="640"/>
        <w:rPr>
          <w:rFonts w:ascii="新宋体" w:hAnsi="新宋体" w:eastAsia="新宋体"/>
          <w:color w:val="000000"/>
          <w:sz w:val="24"/>
        </w:rPr>
      </w:pPr>
      <w:r>
        <w:rPr>
          <w:rFonts w:hint="eastAsia" w:ascii="新宋体" w:hAnsi="新宋体" w:eastAsia="新宋体"/>
          <w:color w:val="000000"/>
          <w:sz w:val="24"/>
        </w:rPr>
        <w:t>2017年一般公共预算财政拨款支出732.26万元，主要用于以下方面:一般公共服务支出686.90万元，占93.81%；教育支出2.28万元，占0.31%；社会保障和就业支出33.42万元，占4.56%；医疗卫生支出9.66万元，占1.32%。</w:t>
      </w:r>
    </w:p>
    <w:p>
      <w:pPr>
        <w:spacing w:line="360" w:lineRule="auto"/>
        <w:ind w:firstLine="640"/>
        <w:rPr>
          <w:rFonts w:ascii="新宋体" w:hAnsi="新宋体" w:eastAsia="新宋体"/>
          <w:b/>
          <w:color w:val="000000"/>
          <w:sz w:val="24"/>
        </w:rPr>
      </w:pPr>
      <w:r>
        <w:rPr>
          <w:rFonts w:hint="eastAsia" w:ascii="新宋体" w:hAnsi="新宋体" w:eastAsia="新宋体"/>
          <w:b/>
          <w:color w:val="000000"/>
          <w:sz w:val="24"/>
        </w:rPr>
        <w:drawing>
          <wp:anchor distT="0" distB="0" distL="114300" distR="114300" simplePos="0" relativeHeight="251662336" behindDoc="1" locked="0" layoutInCell="1" allowOverlap="1">
            <wp:simplePos x="0" y="0"/>
            <wp:positionH relativeFrom="column">
              <wp:posOffset>170815</wp:posOffset>
            </wp:positionH>
            <wp:positionV relativeFrom="paragraph">
              <wp:posOffset>28575</wp:posOffset>
            </wp:positionV>
            <wp:extent cx="5514975" cy="3209925"/>
            <wp:effectExtent l="19050" t="0" r="9525" b="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360" w:lineRule="auto"/>
        <w:ind w:firstLine="640"/>
        <w:rPr>
          <w:rFonts w:ascii="新宋体" w:hAnsi="新宋体" w:eastAsia="新宋体"/>
          <w:b/>
          <w:color w:val="000000"/>
          <w:sz w:val="24"/>
        </w:rPr>
      </w:pPr>
    </w:p>
    <w:p>
      <w:pPr>
        <w:spacing w:line="360" w:lineRule="auto"/>
        <w:ind w:firstLine="640"/>
        <w:rPr>
          <w:rFonts w:ascii="新宋体" w:hAnsi="新宋体" w:eastAsia="新宋体"/>
          <w:b/>
          <w:color w:val="000000"/>
          <w:sz w:val="24"/>
        </w:rPr>
      </w:pPr>
    </w:p>
    <w:p>
      <w:pPr>
        <w:spacing w:line="360" w:lineRule="auto"/>
        <w:ind w:firstLine="640"/>
        <w:rPr>
          <w:rFonts w:ascii="新宋体" w:hAnsi="新宋体" w:eastAsia="新宋体"/>
          <w:b/>
          <w:color w:val="000000"/>
          <w:sz w:val="24"/>
        </w:rPr>
      </w:pPr>
    </w:p>
    <w:p>
      <w:pPr>
        <w:spacing w:line="360" w:lineRule="auto"/>
        <w:ind w:firstLine="640"/>
        <w:rPr>
          <w:rFonts w:ascii="新宋体" w:hAnsi="新宋体" w:eastAsia="新宋体"/>
          <w:b/>
          <w:color w:val="000000"/>
          <w:sz w:val="24"/>
        </w:rPr>
      </w:pPr>
    </w:p>
    <w:p>
      <w:pPr>
        <w:spacing w:line="360" w:lineRule="auto"/>
        <w:ind w:firstLine="640"/>
        <w:rPr>
          <w:rFonts w:ascii="新宋体" w:hAnsi="新宋体" w:eastAsia="新宋体"/>
          <w:b/>
          <w:color w:val="000000"/>
          <w:sz w:val="24"/>
        </w:rPr>
      </w:pPr>
    </w:p>
    <w:p>
      <w:pPr>
        <w:spacing w:line="360" w:lineRule="auto"/>
        <w:ind w:firstLine="640"/>
        <w:rPr>
          <w:rFonts w:ascii="新宋体" w:hAnsi="新宋体" w:eastAsia="新宋体"/>
          <w:b/>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2" w:firstLineChars="200"/>
        <w:rPr>
          <w:rFonts w:ascii="新宋体" w:hAnsi="新宋体" w:eastAsia="新宋体"/>
          <w:b/>
          <w:color w:val="000000"/>
          <w:sz w:val="24"/>
        </w:rPr>
      </w:pPr>
      <w:r>
        <w:rPr>
          <w:rFonts w:hint="eastAsia" w:ascii="新宋体" w:hAnsi="新宋体" w:eastAsia="新宋体"/>
          <w:b/>
          <w:color w:val="000000"/>
          <w:sz w:val="24"/>
        </w:rPr>
        <w:t>（三）一般公共预算财政拨款支出决算具体情况</w:t>
      </w:r>
    </w:p>
    <w:tbl>
      <w:tblPr>
        <w:tblStyle w:val="8"/>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trPr>
        <w:tc>
          <w:tcPr>
            <w:tcW w:w="8306" w:type="dxa"/>
            <w:shd w:val="clear" w:color="auto" w:fill="FFFFFF"/>
          </w:tcPr>
          <w:tbl>
            <w:tblPr>
              <w:tblStyle w:val="8"/>
              <w:tblW w:w="12000" w:type="dxa"/>
              <w:jc w:val="center"/>
              <w:tblCellSpacing w:w="0" w:type="dxa"/>
              <w:tblInd w:w="0" w:type="dxa"/>
              <w:tblLayout w:type="fixed"/>
              <w:tblCellMar>
                <w:top w:w="0" w:type="dxa"/>
                <w:left w:w="0" w:type="dxa"/>
                <w:bottom w:w="0" w:type="dxa"/>
                <w:right w:w="0" w:type="dxa"/>
              </w:tblCellMar>
            </w:tblPr>
            <w:tblGrid>
              <w:gridCol w:w="12000"/>
            </w:tblGrid>
            <w:tr>
              <w:tblPrEx>
                <w:tblLayout w:type="fixed"/>
                <w:tblCellMar>
                  <w:top w:w="0" w:type="dxa"/>
                  <w:left w:w="0" w:type="dxa"/>
                  <w:bottom w:w="0" w:type="dxa"/>
                  <w:right w:w="0" w:type="dxa"/>
                </w:tblCellMar>
              </w:tblPrEx>
              <w:trPr>
                <w:tblCellSpacing w:w="0" w:type="dxa"/>
                <w:jc w:val="center"/>
              </w:trPr>
              <w:tc>
                <w:tcPr>
                  <w:tcW w:w="12000" w:type="dxa"/>
                  <w:shd w:val="clear" w:color="auto" w:fill="FFFFFF"/>
                </w:tcPr>
                <w:tbl>
                  <w:tblPr>
                    <w:tblStyle w:val="8"/>
                    <w:tblW w:w="12000" w:type="dxa"/>
                    <w:tblCellSpacing w:w="0" w:type="dxa"/>
                    <w:tblInd w:w="0" w:type="dxa"/>
                    <w:tblLayout w:type="fixed"/>
                    <w:tblCellMar>
                      <w:top w:w="0" w:type="dxa"/>
                      <w:left w:w="0" w:type="dxa"/>
                      <w:bottom w:w="0" w:type="dxa"/>
                      <w:right w:w="0" w:type="dxa"/>
                    </w:tblCellMar>
                  </w:tblPr>
                  <w:tblGrid>
                    <w:gridCol w:w="12000"/>
                  </w:tblGrid>
                  <w:tr>
                    <w:tblPrEx>
                      <w:tblLayout w:type="fixed"/>
                      <w:tblCellMar>
                        <w:top w:w="0" w:type="dxa"/>
                        <w:left w:w="0" w:type="dxa"/>
                        <w:bottom w:w="0" w:type="dxa"/>
                        <w:right w:w="0" w:type="dxa"/>
                      </w:tblCellMar>
                    </w:tblPrEx>
                    <w:trPr>
                      <w:tblCellSpacing w:w="0" w:type="dxa"/>
                    </w:trPr>
                    <w:tc>
                      <w:tcPr>
                        <w:tcW w:w="12000" w:type="dxa"/>
                      </w:tcPr>
                      <w:p>
                        <w:pPr>
                          <w:widowControl/>
                          <w:spacing w:line="360" w:lineRule="auto"/>
                          <w:jc w:val="left"/>
                          <w:rPr>
                            <w:rFonts w:ascii="新宋体" w:hAnsi="新宋体" w:eastAsia="新宋体" w:cs="宋体"/>
                            <w:color w:val="000000"/>
                            <w:kern w:val="0"/>
                            <w:sz w:val="24"/>
                          </w:rPr>
                        </w:pPr>
                      </w:p>
                    </w:tc>
                  </w:tr>
                </w:tbl>
                <w:p>
                  <w:pPr>
                    <w:widowControl/>
                    <w:spacing w:line="360" w:lineRule="auto"/>
                    <w:jc w:val="left"/>
                    <w:rPr>
                      <w:rFonts w:ascii="新宋体" w:hAnsi="新宋体" w:eastAsia="新宋体" w:cs="宋体"/>
                      <w:color w:val="000000"/>
                      <w:kern w:val="0"/>
                      <w:sz w:val="24"/>
                    </w:rPr>
                  </w:pPr>
                </w:p>
              </w:tc>
            </w:tr>
            <w:tr>
              <w:tblPrEx>
                <w:tblLayout w:type="fixed"/>
                <w:tblCellMar>
                  <w:top w:w="0" w:type="dxa"/>
                  <w:left w:w="0" w:type="dxa"/>
                  <w:bottom w:w="0" w:type="dxa"/>
                  <w:right w:w="0" w:type="dxa"/>
                </w:tblCellMar>
              </w:tblPrEx>
              <w:trPr>
                <w:trHeight w:val="75" w:hRule="atLeast"/>
                <w:tblCellSpacing w:w="0" w:type="dxa"/>
                <w:jc w:val="center"/>
              </w:trPr>
              <w:tc>
                <w:tcPr>
                  <w:tcW w:w="12000" w:type="dxa"/>
                  <w:vAlign w:val="center"/>
                </w:tcPr>
                <w:p>
                  <w:pPr>
                    <w:widowControl/>
                    <w:spacing w:line="360" w:lineRule="auto"/>
                    <w:jc w:val="left"/>
                    <w:rPr>
                      <w:rFonts w:ascii="新宋体" w:hAnsi="新宋体" w:eastAsia="新宋体" w:cs="宋体"/>
                      <w:color w:val="000000"/>
                      <w:kern w:val="0"/>
                      <w:sz w:val="24"/>
                    </w:rPr>
                  </w:pPr>
                </w:p>
              </w:tc>
            </w:tr>
          </w:tbl>
          <w:p>
            <w:pPr>
              <w:widowControl/>
              <w:spacing w:line="360" w:lineRule="auto"/>
              <w:jc w:val="center"/>
              <w:rPr>
                <w:rFonts w:ascii="新宋体" w:hAnsi="新宋体" w:eastAsia="新宋体" w:cs="宋体"/>
                <w:color w:val="000000"/>
                <w:kern w:val="0"/>
                <w:sz w:val="24"/>
              </w:rPr>
            </w:pPr>
          </w:p>
        </w:tc>
      </w:tr>
      <w:tr>
        <w:tblPrEx>
          <w:tblLayout w:type="fixed"/>
          <w:tblCellMar>
            <w:top w:w="0" w:type="dxa"/>
            <w:left w:w="0" w:type="dxa"/>
            <w:bottom w:w="0" w:type="dxa"/>
            <w:right w:w="0" w:type="dxa"/>
          </w:tblCellMar>
        </w:tblPrEx>
        <w:trPr>
          <w:tblCellSpacing w:w="0" w:type="dxa"/>
        </w:trPr>
        <w:tc>
          <w:tcPr>
            <w:tcW w:w="8306" w:type="dxa"/>
            <w:shd w:val="clear" w:color="auto" w:fill="FFFFFF"/>
          </w:tcPr>
          <w:p>
            <w:pPr>
              <w:widowControl/>
              <w:spacing w:line="360" w:lineRule="auto"/>
              <w:jc w:val="left"/>
              <w:rPr>
                <w:rFonts w:ascii="新宋体" w:hAnsi="新宋体" w:eastAsia="新宋体" w:cs="宋体"/>
                <w:color w:val="000000"/>
                <w:kern w:val="0"/>
                <w:sz w:val="24"/>
              </w:rPr>
            </w:pPr>
          </w:p>
        </w:tc>
      </w:tr>
    </w:tbl>
    <w:p>
      <w:pPr>
        <w:spacing w:line="360" w:lineRule="auto"/>
        <w:ind w:firstLine="480" w:firstLineChars="200"/>
        <w:rPr>
          <w:rStyle w:val="10"/>
          <w:rFonts w:ascii="新宋体" w:hAnsi="新宋体" w:eastAsia="新宋体"/>
          <w:b w:val="0"/>
          <w:color w:val="000000"/>
          <w:sz w:val="24"/>
        </w:rPr>
      </w:pPr>
      <w:r>
        <w:rPr>
          <w:rStyle w:val="10"/>
          <w:rFonts w:hint="eastAsia" w:ascii="新宋体" w:hAnsi="新宋体" w:eastAsia="新宋体" w:cs="仿宋_GB2312"/>
          <w:b w:val="0"/>
          <w:sz w:val="24"/>
        </w:rPr>
        <w:t>1.一般公共服务支出（类）政府办公厅（室）及相关机构事务（款）行政运行（项）</w:t>
      </w:r>
      <w:r>
        <w:rPr>
          <w:rStyle w:val="10"/>
          <w:rFonts w:hint="eastAsia" w:ascii="新宋体" w:hAnsi="新宋体" w:eastAsia="新宋体"/>
          <w:b w:val="0"/>
          <w:color w:val="000000"/>
          <w:sz w:val="24"/>
        </w:rPr>
        <w:t>:支出决算为320.81万元，完成预算100%。</w:t>
      </w:r>
    </w:p>
    <w:p>
      <w:pPr>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w:t>
      </w:r>
      <w:r>
        <w:rPr>
          <w:rStyle w:val="10"/>
          <w:rFonts w:hint="eastAsia" w:ascii="新宋体" w:hAnsi="新宋体" w:eastAsia="新宋体" w:cs="仿宋_GB2312"/>
          <w:b w:val="0"/>
          <w:sz w:val="24"/>
        </w:rPr>
        <w:t xml:space="preserve"> 一般公共服务支出（类）政府办公厅（室）及相关机构事务（款）一般行政管理事务（项）:</w:t>
      </w:r>
      <w:r>
        <w:rPr>
          <w:rStyle w:val="10"/>
          <w:rFonts w:hint="eastAsia" w:ascii="新宋体" w:hAnsi="新宋体" w:eastAsia="新宋体"/>
          <w:b w:val="0"/>
          <w:color w:val="000000"/>
          <w:sz w:val="24"/>
        </w:rPr>
        <w:t xml:space="preserve"> 支出决算为</w:t>
      </w:r>
      <w:r>
        <w:rPr>
          <w:rFonts w:hint="eastAsia" w:ascii="新宋体" w:hAnsi="新宋体" w:eastAsia="新宋体" w:cs="仿宋_GB2312"/>
          <w:sz w:val="24"/>
        </w:rPr>
        <w:t>366.02万元，完成预算98.13%，决算数小于预算数的主要原因是有未完成支付的项目资金，待2018年完成支付。</w:t>
      </w:r>
    </w:p>
    <w:p>
      <w:pPr>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w:t>
      </w:r>
      <w:r>
        <w:rPr>
          <w:rStyle w:val="10"/>
          <w:rFonts w:hint="eastAsia" w:ascii="新宋体" w:hAnsi="新宋体" w:eastAsia="新宋体" w:cs="仿宋_GB2312"/>
          <w:b w:val="0"/>
          <w:sz w:val="24"/>
        </w:rPr>
        <w:t xml:space="preserve"> 一般公共服务支出（类）政府办公厅（室）及相关机构事务（款）事业运行（项）:</w:t>
      </w:r>
      <w:r>
        <w:rPr>
          <w:rStyle w:val="10"/>
          <w:rFonts w:hint="eastAsia" w:ascii="新宋体" w:hAnsi="新宋体" w:eastAsia="新宋体"/>
          <w:b w:val="0"/>
          <w:color w:val="000000"/>
          <w:sz w:val="24"/>
        </w:rPr>
        <w:t xml:space="preserve"> 支出决算为</w:t>
      </w:r>
      <w:r>
        <w:rPr>
          <w:rFonts w:hint="eastAsia" w:ascii="新宋体" w:hAnsi="新宋体" w:eastAsia="新宋体" w:cs="仿宋_GB2312"/>
          <w:sz w:val="24"/>
        </w:rPr>
        <w:t>0.01万元，完成预算100%。</w:t>
      </w:r>
    </w:p>
    <w:p>
      <w:pPr>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4.</w:t>
      </w:r>
      <w:r>
        <w:rPr>
          <w:rStyle w:val="10"/>
          <w:rFonts w:hint="eastAsia" w:ascii="新宋体" w:hAnsi="新宋体" w:eastAsia="新宋体" w:cs="仿宋_GB2312"/>
          <w:b w:val="0"/>
          <w:sz w:val="24"/>
        </w:rPr>
        <w:t xml:space="preserve"> 一般公共服务支出（类）政府办公厅（室）及相关机构事务（款）其他政府办公厅（室）及相关机构事务支出（项）:</w:t>
      </w:r>
      <w:r>
        <w:rPr>
          <w:rStyle w:val="10"/>
          <w:rFonts w:hint="eastAsia" w:ascii="新宋体" w:hAnsi="新宋体" w:eastAsia="新宋体"/>
          <w:b w:val="0"/>
          <w:color w:val="000000"/>
          <w:sz w:val="24"/>
        </w:rPr>
        <w:t xml:space="preserve"> 支出决算为</w:t>
      </w:r>
      <w:r>
        <w:rPr>
          <w:rFonts w:hint="eastAsia" w:ascii="新宋体" w:hAnsi="新宋体" w:eastAsia="新宋体" w:cs="仿宋_GB2312"/>
          <w:sz w:val="24"/>
        </w:rPr>
        <w:t>0.06万元，完成预算100%。</w:t>
      </w:r>
    </w:p>
    <w:p>
      <w:pPr>
        <w:spacing w:line="360" w:lineRule="auto"/>
        <w:ind w:firstLine="480" w:firstLineChars="200"/>
        <w:rPr>
          <w:rFonts w:ascii="新宋体" w:hAnsi="新宋体" w:eastAsia="新宋体"/>
          <w:color w:val="000000"/>
          <w:sz w:val="24"/>
        </w:rPr>
      </w:pPr>
      <w:r>
        <w:rPr>
          <w:rStyle w:val="10"/>
          <w:rFonts w:hint="eastAsia" w:ascii="新宋体" w:hAnsi="新宋体" w:eastAsia="新宋体"/>
          <w:b w:val="0"/>
          <w:color w:val="000000"/>
          <w:sz w:val="24"/>
        </w:rPr>
        <w:t>5</w:t>
      </w:r>
      <w:r>
        <w:rPr>
          <w:rStyle w:val="12"/>
          <w:rFonts w:hint="eastAsia" w:ascii="新宋体" w:hAnsi="新宋体" w:eastAsia="新宋体" w:cs="仿宋_GB2312"/>
          <w:sz w:val="24"/>
          <w:szCs w:val="24"/>
        </w:rPr>
        <w:t xml:space="preserve"> </w:t>
      </w:r>
      <w:r>
        <w:rPr>
          <w:rStyle w:val="10"/>
          <w:rFonts w:hint="eastAsia" w:ascii="新宋体" w:hAnsi="新宋体" w:eastAsia="新宋体" w:cs="仿宋_GB2312"/>
          <w:b w:val="0"/>
          <w:sz w:val="24"/>
        </w:rPr>
        <w:t>.教育支出（类）进修及培训（款）培训支出（项）</w:t>
      </w:r>
      <w:r>
        <w:rPr>
          <w:rStyle w:val="10"/>
          <w:rFonts w:hint="eastAsia" w:ascii="新宋体" w:hAnsi="新宋体" w:eastAsia="新宋体"/>
          <w:b w:val="0"/>
          <w:color w:val="000000"/>
          <w:sz w:val="24"/>
        </w:rPr>
        <w:t>: 支出决算为2.28万元，完成预算100%。</w:t>
      </w:r>
    </w:p>
    <w:p>
      <w:pPr>
        <w:spacing w:line="360" w:lineRule="auto"/>
        <w:ind w:firstLine="480" w:firstLineChars="200"/>
        <w:rPr>
          <w:rFonts w:ascii="新宋体" w:hAnsi="新宋体" w:eastAsia="新宋体"/>
          <w:color w:val="000000"/>
          <w:sz w:val="24"/>
        </w:rPr>
      </w:pPr>
      <w:r>
        <w:rPr>
          <w:rStyle w:val="10"/>
          <w:rFonts w:hint="eastAsia" w:ascii="新宋体" w:hAnsi="新宋体" w:eastAsia="新宋体"/>
          <w:b w:val="0"/>
          <w:color w:val="000000"/>
          <w:sz w:val="24"/>
        </w:rPr>
        <w:t>6.</w:t>
      </w:r>
      <w:r>
        <w:rPr>
          <w:rStyle w:val="12"/>
          <w:rFonts w:hint="eastAsia" w:ascii="新宋体" w:hAnsi="新宋体" w:eastAsia="新宋体" w:cs="仿宋_GB2312"/>
          <w:sz w:val="24"/>
          <w:szCs w:val="24"/>
        </w:rPr>
        <w:t xml:space="preserve"> </w:t>
      </w:r>
      <w:r>
        <w:rPr>
          <w:rStyle w:val="10"/>
          <w:rFonts w:hint="eastAsia" w:ascii="新宋体" w:hAnsi="新宋体" w:eastAsia="新宋体" w:cs="仿宋_GB2312"/>
          <w:b w:val="0"/>
          <w:sz w:val="24"/>
        </w:rPr>
        <w:t>社会保障和就业支出（类）行政事业单位离退休（款 机关事业单位基本养老保险缴费支出（项）</w:t>
      </w:r>
      <w:r>
        <w:rPr>
          <w:rStyle w:val="10"/>
          <w:rFonts w:hint="eastAsia" w:ascii="新宋体" w:hAnsi="新宋体" w:eastAsia="新宋体"/>
          <w:b w:val="0"/>
          <w:color w:val="000000"/>
          <w:sz w:val="24"/>
        </w:rPr>
        <w:t>: 支出决算为33.42万元，完成预算100%。</w:t>
      </w:r>
    </w:p>
    <w:p>
      <w:pPr>
        <w:spacing w:line="360" w:lineRule="auto"/>
        <w:ind w:firstLine="480" w:firstLineChars="200"/>
        <w:rPr>
          <w:rFonts w:ascii="新宋体" w:hAnsi="新宋体" w:eastAsia="新宋体"/>
          <w:color w:val="000000"/>
          <w:sz w:val="24"/>
        </w:rPr>
      </w:pPr>
      <w:r>
        <w:rPr>
          <w:rStyle w:val="10"/>
          <w:rFonts w:hint="eastAsia" w:ascii="新宋体" w:hAnsi="新宋体" w:eastAsia="新宋体"/>
          <w:b w:val="0"/>
          <w:color w:val="000000"/>
          <w:sz w:val="24"/>
        </w:rPr>
        <w:t>7.</w:t>
      </w:r>
      <w:r>
        <w:rPr>
          <w:rStyle w:val="12"/>
          <w:rFonts w:hint="eastAsia" w:ascii="新宋体" w:hAnsi="新宋体" w:eastAsia="新宋体" w:cs="仿宋_GB2312"/>
          <w:sz w:val="24"/>
          <w:szCs w:val="24"/>
        </w:rPr>
        <w:t xml:space="preserve"> </w:t>
      </w:r>
      <w:r>
        <w:rPr>
          <w:rStyle w:val="10"/>
          <w:rFonts w:hint="eastAsia" w:ascii="新宋体" w:hAnsi="新宋体" w:eastAsia="新宋体" w:cs="仿宋_GB2312"/>
          <w:b w:val="0"/>
          <w:sz w:val="24"/>
        </w:rPr>
        <w:t>医疗卫生与计划生育支出（类）医疗保障（款）行政单位医疗（项）</w:t>
      </w:r>
      <w:r>
        <w:rPr>
          <w:rStyle w:val="10"/>
          <w:rFonts w:hint="eastAsia" w:ascii="新宋体" w:hAnsi="新宋体" w:eastAsia="新宋体"/>
          <w:b w:val="0"/>
          <w:color w:val="000000"/>
          <w:sz w:val="24"/>
        </w:rPr>
        <w:t>:支出决算为9.66万元，完成预算100%。</w:t>
      </w:r>
    </w:p>
    <w:p>
      <w:pPr>
        <w:spacing w:line="360" w:lineRule="auto"/>
        <w:ind w:firstLine="640"/>
        <w:rPr>
          <w:rFonts w:ascii="新宋体" w:hAnsi="新宋体" w:eastAsia="新宋体"/>
          <w:color w:val="000000"/>
          <w:sz w:val="24"/>
        </w:rPr>
      </w:pPr>
      <w:r>
        <w:rPr>
          <w:rFonts w:hint="eastAsia" w:ascii="新宋体" w:hAnsi="新宋体" w:eastAsia="新宋体"/>
          <w:color w:val="000000"/>
          <w:sz w:val="24"/>
        </w:rPr>
        <w:t>六、一般公共预算财政拨款基本支出决算情况说明</w:t>
      </w:r>
    </w:p>
    <w:p>
      <w:pPr>
        <w:spacing w:line="360" w:lineRule="auto"/>
        <w:ind w:firstLine="645"/>
        <w:rPr>
          <w:rFonts w:ascii="新宋体" w:hAnsi="新宋体" w:eastAsia="新宋体"/>
          <w:color w:val="000000"/>
          <w:sz w:val="24"/>
        </w:rPr>
      </w:pPr>
      <w:r>
        <w:rPr>
          <w:rFonts w:hint="eastAsia" w:ascii="新宋体" w:hAnsi="新宋体" w:eastAsia="新宋体"/>
          <w:color w:val="000000"/>
          <w:sz w:val="24"/>
        </w:rPr>
        <w:t>2017年度一般公共预算财政拨款基本支出366.18万元，其中：</w:t>
      </w:r>
    </w:p>
    <w:p>
      <w:pPr>
        <w:spacing w:line="360" w:lineRule="auto"/>
        <w:ind w:firstLine="645"/>
        <w:rPr>
          <w:rFonts w:ascii="新宋体" w:hAnsi="新宋体" w:eastAsia="新宋体"/>
          <w:color w:val="000000"/>
          <w:sz w:val="24"/>
        </w:rPr>
      </w:pPr>
      <w:r>
        <w:rPr>
          <w:rFonts w:hint="eastAsia" w:ascii="新宋体" w:hAnsi="新宋体" w:eastAsia="新宋体"/>
          <w:color w:val="000000"/>
          <w:sz w:val="24"/>
        </w:rPr>
        <w:t>人员经费311.33万元，主要包括：基本工资、津贴补贴、奖金、机关事业单位基本养老保险缴费、其他社会保障缴费、其他工资福利支出、生活补助、奖励金、。</w:t>
      </w:r>
      <w:r>
        <w:rPr>
          <w:rFonts w:hint="eastAsia" w:ascii="新宋体" w:hAnsi="新宋体" w:eastAsia="新宋体"/>
          <w:color w:val="000000"/>
          <w:sz w:val="24"/>
        </w:rPr>
        <w:br w:type="textWrapping"/>
      </w:r>
      <w:r>
        <w:rPr>
          <w:rFonts w:hint="eastAsia" w:ascii="新宋体" w:hAnsi="新宋体" w:eastAsia="新宋体"/>
          <w:color w:val="000000"/>
          <w:sz w:val="24"/>
        </w:rPr>
        <w:t>　　公用经费54.85万元，主要包括：办公费、费、电费、邮电费、差旅费、维修（护）费、会议费、培训费、公务接待费、工会经费、福利费、其他交通费。</w:t>
      </w:r>
    </w:p>
    <w:p>
      <w:pPr>
        <w:spacing w:line="360" w:lineRule="auto"/>
        <w:ind w:firstLine="640"/>
        <w:rPr>
          <w:rFonts w:ascii="新宋体" w:hAnsi="新宋体" w:eastAsia="新宋体"/>
          <w:b/>
          <w:color w:val="000000"/>
          <w:sz w:val="24"/>
        </w:rPr>
      </w:pPr>
      <w:r>
        <w:rPr>
          <w:rFonts w:hint="eastAsia" w:ascii="新宋体" w:hAnsi="新宋体" w:eastAsia="新宋体"/>
          <w:b/>
          <w:color w:val="000000"/>
          <w:sz w:val="24"/>
        </w:rPr>
        <w:t>七、“三公”经费财政拨款支出决算情况说明</w:t>
      </w:r>
    </w:p>
    <w:p>
      <w:pPr>
        <w:spacing w:line="360" w:lineRule="auto"/>
        <w:ind w:firstLine="640"/>
        <w:rPr>
          <w:rFonts w:ascii="新宋体" w:hAnsi="新宋体" w:eastAsia="新宋体"/>
          <w:b/>
          <w:color w:val="000000"/>
          <w:sz w:val="24"/>
        </w:rPr>
      </w:pPr>
      <w:r>
        <w:rPr>
          <w:rFonts w:hint="eastAsia" w:ascii="新宋体" w:hAnsi="新宋体" w:eastAsia="新宋体"/>
          <w:b/>
          <w:color w:val="000000"/>
          <w:sz w:val="24"/>
        </w:rPr>
        <w:t>（一）“三公”经费财政拨款支出决算总体情况说明</w:t>
      </w:r>
    </w:p>
    <w:p>
      <w:pPr>
        <w:spacing w:line="360" w:lineRule="auto"/>
        <w:ind w:firstLine="641"/>
        <w:rPr>
          <w:rFonts w:ascii="新宋体" w:hAnsi="新宋体" w:eastAsia="新宋体"/>
          <w:color w:val="000000"/>
          <w:sz w:val="24"/>
        </w:rPr>
      </w:pPr>
      <w:r>
        <w:rPr>
          <w:rFonts w:hint="eastAsia" w:ascii="新宋体" w:hAnsi="新宋体" w:eastAsia="新宋体"/>
          <w:color w:val="000000"/>
          <w:sz w:val="24"/>
        </w:rPr>
        <w:t>2017年度“三公”经费财政拨款支出决算为4.13万元，</w:t>
      </w:r>
      <w:r>
        <w:rPr>
          <w:rFonts w:hint="eastAsia" w:ascii="新宋体" w:hAnsi="新宋体" w:eastAsia="新宋体"/>
          <w:sz w:val="24"/>
        </w:rPr>
        <w:t>完成预算99.75%。</w:t>
      </w:r>
      <w:r>
        <w:rPr>
          <w:rFonts w:hint="eastAsia" w:ascii="新宋体" w:hAnsi="新宋体" w:eastAsia="新宋体"/>
          <w:color w:val="000000"/>
          <w:sz w:val="24"/>
        </w:rPr>
        <w:t>主要原因是认真贯彻落实中央八项规定、省委省政府十项规定及市委市府相关规定，严格控制“三公”经费支出，降低成本。</w:t>
      </w:r>
    </w:p>
    <w:p>
      <w:pPr>
        <w:spacing w:line="360" w:lineRule="auto"/>
        <w:ind w:firstLine="640"/>
        <w:rPr>
          <w:rFonts w:ascii="新宋体" w:hAnsi="新宋体" w:eastAsia="新宋体"/>
          <w:b/>
          <w:color w:val="000000"/>
          <w:sz w:val="24"/>
        </w:rPr>
      </w:pPr>
      <w:r>
        <w:rPr>
          <w:rFonts w:hint="eastAsia" w:ascii="新宋体" w:hAnsi="新宋体" w:eastAsia="新宋体"/>
          <w:b/>
          <w:color w:val="000000"/>
          <w:sz w:val="24"/>
        </w:rPr>
        <w:t>（二）“三公”经费财政拨款支出决算具体情况说明</w:t>
      </w:r>
    </w:p>
    <w:p>
      <w:pPr>
        <w:spacing w:line="360" w:lineRule="auto"/>
        <w:ind w:firstLine="640"/>
        <w:rPr>
          <w:rFonts w:ascii="新宋体" w:hAnsi="新宋体" w:eastAsia="新宋体"/>
          <w:color w:val="000000"/>
          <w:sz w:val="24"/>
        </w:rPr>
      </w:pPr>
      <w:r>
        <w:rPr>
          <w:rFonts w:hint="eastAsia" w:ascii="新宋体" w:hAnsi="新宋体" w:eastAsia="新宋体"/>
          <w:color w:val="000000"/>
          <w:sz w:val="24"/>
        </w:rPr>
        <w:t>2017年度“三公”经费财政拨款支出决算中，无因公出国（境）费支出；无公务用车购置及运行维护费支出；公务接待费支出决算4.13万元，占99.75%。具体情况如下：</w:t>
      </w:r>
    </w:p>
    <w:p>
      <w:pPr>
        <w:spacing w:line="360" w:lineRule="auto"/>
        <w:ind w:firstLine="640"/>
        <w:rPr>
          <w:rFonts w:ascii="新宋体" w:hAnsi="新宋体" w:eastAsia="新宋体"/>
          <w:color w:val="000000"/>
          <w:sz w:val="24"/>
        </w:rPr>
      </w:pPr>
    </w:p>
    <w:p>
      <w:pPr>
        <w:spacing w:line="360" w:lineRule="auto"/>
        <w:ind w:firstLine="640"/>
        <w:rPr>
          <w:rFonts w:ascii="新宋体" w:hAnsi="新宋体" w:eastAsia="新宋体"/>
          <w:color w:val="000000"/>
          <w:sz w:val="24"/>
        </w:rPr>
      </w:pPr>
      <w:r>
        <w:rPr>
          <w:rFonts w:hint="eastAsia" w:ascii="新宋体" w:hAnsi="新宋体" w:eastAsia="新宋体"/>
          <w:color w:val="000000"/>
          <w:sz w:val="24"/>
        </w:rPr>
        <w:drawing>
          <wp:anchor distT="0" distB="0" distL="114300" distR="114300" simplePos="0" relativeHeight="251663360" behindDoc="1" locked="0" layoutInCell="1" allowOverlap="1">
            <wp:simplePos x="0" y="0"/>
            <wp:positionH relativeFrom="column">
              <wp:posOffset>428625</wp:posOffset>
            </wp:positionH>
            <wp:positionV relativeFrom="paragraph">
              <wp:posOffset>0</wp:posOffset>
            </wp:positionV>
            <wp:extent cx="4857750" cy="3086100"/>
            <wp:effectExtent l="19050" t="0" r="19050" b="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360" w:lineRule="auto"/>
        <w:ind w:firstLine="640"/>
        <w:rPr>
          <w:rFonts w:ascii="新宋体" w:hAnsi="新宋体" w:eastAsia="新宋体"/>
          <w:color w:val="000000"/>
          <w:sz w:val="24"/>
        </w:rPr>
      </w:pPr>
    </w:p>
    <w:p>
      <w:pPr>
        <w:spacing w:line="360" w:lineRule="auto"/>
        <w:ind w:firstLine="640"/>
        <w:rPr>
          <w:rFonts w:ascii="新宋体" w:hAnsi="新宋体" w:eastAsia="新宋体"/>
          <w:color w:val="000000"/>
          <w:sz w:val="24"/>
        </w:rPr>
      </w:pPr>
    </w:p>
    <w:p>
      <w:pPr>
        <w:spacing w:line="360" w:lineRule="auto"/>
        <w:ind w:firstLine="640"/>
        <w:rPr>
          <w:rFonts w:ascii="新宋体" w:hAnsi="新宋体" w:eastAsia="新宋体"/>
          <w:color w:val="000000"/>
          <w:sz w:val="24"/>
        </w:rPr>
      </w:pPr>
    </w:p>
    <w:p>
      <w:pPr>
        <w:spacing w:line="360" w:lineRule="auto"/>
        <w:ind w:firstLine="640"/>
        <w:rPr>
          <w:rFonts w:ascii="新宋体" w:hAnsi="新宋体" w:eastAsia="新宋体"/>
          <w:color w:val="000000"/>
          <w:sz w:val="24"/>
        </w:rPr>
      </w:pPr>
    </w:p>
    <w:p>
      <w:pPr>
        <w:spacing w:line="360" w:lineRule="auto"/>
        <w:ind w:firstLine="640"/>
        <w:rPr>
          <w:rFonts w:ascii="新宋体" w:hAnsi="新宋体" w:eastAsia="新宋体"/>
          <w:color w:val="000000"/>
          <w:sz w:val="24"/>
        </w:rPr>
      </w:pPr>
    </w:p>
    <w:p>
      <w:pPr>
        <w:spacing w:line="360" w:lineRule="auto"/>
        <w:ind w:firstLine="640"/>
        <w:rPr>
          <w:rFonts w:ascii="新宋体" w:hAnsi="新宋体" w:eastAsia="新宋体"/>
          <w:color w:val="000000"/>
          <w:sz w:val="24"/>
        </w:rPr>
      </w:pPr>
    </w:p>
    <w:p>
      <w:pPr>
        <w:spacing w:line="360" w:lineRule="auto"/>
        <w:ind w:firstLine="640"/>
        <w:rPr>
          <w:rFonts w:ascii="新宋体" w:hAnsi="新宋体" w:eastAsia="新宋体"/>
          <w:b/>
          <w:color w:val="000000"/>
          <w:sz w:val="24"/>
        </w:rPr>
      </w:pPr>
    </w:p>
    <w:p>
      <w:pPr>
        <w:spacing w:line="360" w:lineRule="auto"/>
        <w:ind w:firstLine="640"/>
        <w:rPr>
          <w:rFonts w:ascii="新宋体" w:hAnsi="新宋体" w:eastAsia="新宋体"/>
          <w:b/>
          <w:color w:val="000000"/>
          <w:sz w:val="24"/>
        </w:rPr>
      </w:pPr>
    </w:p>
    <w:p>
      <w:pPr>
        <w:spacing w:line="360" w:lineRule="auto"/>
        <w:ind w:firstLine="640"/>
        <w:rPr>
          <w:rFonts w:ascii="新宋体" w:hAnsi="新宋体" w:eastAsia="新宋体"/>
          <w:b/>
          <w:color w:val="000000"/>
          <w:sz w:val="24"/>
        </w:rPr>
      </w:pPr>
    </w:p>
    <w:p>
      <w:pPr>
        <w:spacing w:line="360" w:lineRule="auto"/>
        <w:ind w:firstLine="640"/>
        <w:rPr>
          <w:rFonts w:ascii="新宋体" w:hAnsi="新宋体" w:eastAsia="新宋体"/>
          <w:b/>
          <w:color w:val="000000"/>
          <w:sz w:val="24"/>
        </w:rPr>
      </w:pPr>
    </w:p>
    <w:p>
      <w:pPr>
        <w:spacing w:line="360" w:lineRule="auto"/>
        <w:ind w:firstLine="640"/>
        <w:rPr>
          <w:rFonts w:ascii="新宋体" w:hAnsi="新宋体" w:eastAsia="新宋体"/>
          <w:color w:val="000000"/>
          <w:sz w:val="24"/>
        </w:rPr>
      </w:pPr>
      <w:r>
        <w:rPr>
          <w:rFonts w:hint="eastAsia" w:ascii="新宋体" w:hAnsi="新宋体" w:eastAsia="新宋体"/>
          <w:b/>
          <w:color w:val="000000"/>
          <w:sz w:val="24"/>
        </w:rPr>
        <w:t>1.因公出国（境）经费支出</w:t>
      </w:r>
      <w:r>
        <w:rPr>
          <w:rFonts w:hint="eastAsia" w:ascii="新宋体" w:hAnsi="新宋体" w:eastAsia="新宋体"/>
          <w:color w:val="000000"/>
          <w:sz w:val="24"/>
        </w:rPr>
        <w:t>0万元。全年无安排因公出国（境）团组、出国（境）。</w:t>
      </w:r>
    </w:p>
    <w:p>
      <w:pPr>
        <w:spacing w:line="360" w:lineRule="auto"/>
        <w:ind w:firstLine="482" w:firstLineChars="200"/>
        <w:rPr>
          <w:rFonts w:ascii="新宋体" w:hAnsi="新宋体" w:eastAsia="新宋体"/>
          <w:color w:val="000000"/>
          <w:sz w:val="24"/>
        </w:rPr>
      </w:pPr>
      <w:r>
        <w:rPr>
          <w:rFonts w:hint="eastAsia" w:ascii="新宋体" w:hAnsi="新宋体" w:eastAsia="新宋体"/>
          <w:b/>
          <w:color w:val="000000"/>
          <w:sz w:val="24"/>
        </w:rPr>
        <w:t>2.公务用车购置及运行维护费支出</w:t>
      </w:r>
      <w:r>
        <w:rPr>
          <w:rFonts w:hint="eastAsia" w:ascii="新宋体" w:hAnsi="新宋体" w:eastAsia="新宋体"/>
          <w:color w:val="000000"/>
          <w:sz w:val="24"/>
        </w:rPr>
        <w:t>0万元。其中：</w:t>
      </w:r>
    </w:p>
    <w:p>
      <w:pPr>
        <w:spacing w:line="60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无公务用车购置支出。截至201</w:t>
      </w:r>
      <w:r>
        <w:rPr>
          <w:rFonts w:hint="eastAsia" w:ascii="新宋体" w:hAnsi="新宋体" w:eastAsia="新宋体"/>
          <w:color w:val="000000"/>
          <w:sz w:val="24"/>
          <w:lang w:val="en-US" w:eastAsia="zh-CN"/>
        </w:rPr>
        <w:t>7</w:t>
      </w:r>
      <w:r>
        <w:rPr>
          <w:rFonts w:hint="eastAsia" w:ascii="新宋体" w:hAnsi="新宋体" w:eastAsia="新宋体"/>
          <w:color w:val="000000"/>
          <w:sz w:val="24"/>
        </w:rPr>
        <w:t>年12月底，单位共有公务用车</w:t>
      </w:r>
      <w:r>
        <w:rPr>
          <w:rFonts w:hint="eastAsia" w:ascii="新宋体" w:hAnsi="新宋体" w:eastAsia="新宋体"/>
          <w:color w:val="000000"/>
          <w:sz w:val="24"/>
          <w:lang w:val="en-US" w:eastAsia="zh-CN"/>
        </w:rPr>
        <w:t>0</w:t>
      </w:r>
      <w:r>
        <w:rPr>
          <w:rFonts w:hint="eastAsia" w:ascii="新宋体" w:hAnsi="新宋体" w:eastAsia="新宋体"/>
          <w:color w:val="000000"/>
          <w:sz w:val="24"/>
        </w:rPr>
        <w:t>辆</w:t>
      </w:r>
      <w:r>
        <w:rPr>
          <w:rFonts w:hint="eastAsia" w:ascii="新宋体" w:hAnsi="新宋体" w:eastAsia="新宋体"/>
          <w:color w:val="000000"/>
          <w:sz w:val="24"/>
          <w:lang w:eastAsia="zh-CN"/>
        </w:rPr>
        <w:t>。</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无公务用车运行维护费支出。</w:t>
      </w:r>
      <w:bookmarkStart w:id="0" w:name="_GoBack"/>
      <w:bookmarkEnd w:id="0"/>
    </w:p>
    <w:p>
      <w:pPr>
        <w:spacing w:line="360" w:lineRule="auto"/>
        <w:ind w:firstLine="482" w:firstLineChars="200"/>
        <w:rPr>
          <w:rFonts w:ascii="新宋体" w:hAnsi="新宋体" w:eastAsia="新宋体" w:cs="仿宋_GB2312"/>
          <w:sz w:val="24"/>
        </w:rPr>
      </w:pPr>
      <w:r>
        <w:rPr>
          <w:rFonts w:hint="eastAsia" w:ascii="新宋体" w:hAnsi="新宋体" w:eastAsia="新宋体"/>
          <w:b/>
          <w:color w:val="000000"/>
          <w:sz w:val="24"/>
        </w:rPr>
        <w:t>3.公务接待费支出</w:t>
      </w:r>
      <w:r>
        <w:rPr>
          <w:rFonts w:hint="eastAsia" w:ascii="新宋体" w:hAnsi="新宋体" w:eastAsia="新宋体"/>
          <w:color w:val="000000"/>
          <w:sz w:val="24"/>
        </w:rPr>
        <w:t>4.13万元。主要用于执行公务、开展业务活动开支的交通费、住宿费、用餐费等。国内公务接待54批次，414人次，共计支出4.13万元，具体内容包括：</w:t>
      </w:r>
      <w:r>
        <w:rPr>
          <w:rFonts w:hint="eastAsia" w:ascii="新宋体" w:hAnsi="新宋体" w:eastAsia="新宋体" w:cs="仿宋_GB2312"/>
          <w:sz w:val="24"/>
        </w:rPr>
        <w:t>：</w:t>
      </w:r>
      <w:r>
        <w:rPr>
          <w:rFonts w:hint="eastAsia" w:ascii="新宋体" w:hAnsi="新宋体" w:eastAsia="新宋体" w:cs="新宋体"/>
          <w:kern w:val="0"/>
          <w:sz w:val="24"/>
        </w:rPr>
        <w:t>用于执行公务、外县市政务服务中心交流学习、上级主管部门检查指导政务服务工作等。</w:t>
      </w:r>
    </w:p>
    <w:p>
      <w:pPr>
        <w:spacing w:line="360" w:lineRule="auto"/>
        <w:ind w:firstLine="480" w:firstLineChars="200"/>
        <w:rPr>
          <w:rFonts w:ascii="新宋体" w:hAnsi="新宋体" w:eastAsia="新宋体"/>
          <w:b/>
          <w:sz w:val="24"/>
        </w:rPr>
      </w:pPr>
      <w:r>
        <w:rPr>
          <w:rFonts w:hint="eastAsia" w:ascii="新宋体" w:hAnsi="新宋体" w:eastAsia="新宋体"/>
          <w:color w:val="000000"/>
          <w:sz w:val="24"/>
        </w:rPr>
        <w:t>公务接待费支出决算比2016年减少0.01万元，下降0.24%。主要原因是</w:t>
      </w:r>
      <w:r>
        <w:rPr>
          <w:rFonts w:hint="eastAsia" w:ascii="新宋体" w:hAnsi="新宋体" w:eastAsia="新宋体"/>
          <w:sz w:val="24"/>
        </w:rPr>
        <w:t>严格控制“三公”经费支出。</w:t>
      </w:r>
    </w:p>
    <w:p>
      <w:pPr>
        <w:spacing w:line="360" w:lineRule="auto"/>
        <w:ind w:firstLine="640"/>
        <w:rPr>
          <w:rFonts w:ascii="新宋体" w:hAnsi="新宋体" w:eastAsia="新宋体"/>
          <w:color w:val="000000"/>
          <w:sz w:val="24"/>
        </w:rPr>
      </w:pPr>
      <w:r>
        <w:rPr>
          <w:rFonts w:hint="eastAsia" w:ascii="新宋体" w:hAnsi="新宋体" w:eastAsia="新宋体"/>
          <w:color w:val="000000"/>
          <w:sz w:val="24"/>
        </w:rPr>
        <w:t>八、政府性基金预算支出决算情况说明</w:t>
      </w:r>
    </w:p>
    <w:p>
      <w:pPr>
        <w:spacing w:line="360" w:lineRule="auto"/>
        <w:ind w:firstLine="640"/>
        <w:rPr>
          <w:rFonts w:ascii="新宋体" w:hAnsi="新宋体" w:eastAsia="新宋体"/>
          <w:color w:val="000000"/>
          <w:sz w:val="24"/>
        </w:rPr>
      </w:pPr>
      <w:r>
        <w:rPr>
          <w:rFonts w:hint="eastAsia" w:ascii="新宋体" w:hAnsi="新宋体" w:eastAsia="新宋体"/>
          <w:color w:val="000000"/>
          <w:sz w:val="24"/>
        </w:rPr>
        <w:t>2017年度未发生政府性基金预算拨款支出。</w:t>
      </w:r>
    </w:p>
    <w:p>
      <w:pPr>
        <w:spacing w:line="360" w:lineRule="auto"/>
        <w:ind w:firstLine="640"/>
        <w:rPr>
          <w:rFonts w:ascii="新宋体" w:hAnsi="新宋体" w:eastAsia="新宋体"/>
          <w:color w:val="000000"/>
          <w:sz w:val="24"/>
        </w:rPr>
      </w:pPr>
      <w:r>
        <w:rPr>
          <w:rFonts w:hint="eastAsia" w:ascii="新宋体" w:hAnsi="新宋体" w:eastAsia="新宋体"/>
          <w:color w:val="000000"/>
          <w:sz w:val="24"/>
        </w:rPr>
        <w:t>九、国有资本经营预算支出决算情况说明</w:t>
      </w:r>
    </w:p>
    <w:p>
      <w:pPr>
        <w:spacing w:line="360" w:lineRule="auto"/>
        <w:ind w:firstLine="640"/>
        <w:rPr>
          <w:rFonts w:ascii="新宋体" w:hAnsi="新宋体" w:eastAsia="新宋体"/>
          <w:color w:val="000000"/>
          <w:sz w:val="24"/>
        </w:rPr>
      </w:pPr>
      <w:r>
        <w:rPr>
          <w:rFonts w:hint="eastAsia" w:ascii="新宋体" w:hAnsi="新宋体" w:eastAsia="新宋体"/>
          <w:color w:val="000000"/>
          <w:sz w:val="24"/>
        </w:rPr>
        <w:t>2017年度未发生国有资本经营预算拨款支出。</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十、其他重要事项的情况说明</w:t>
      </w:r>
    </w:p>
    <w:p>
      <w:pPr>
        <w:spacing w:line="360" w:lineRule="auto"/>
        <w:ind w:firstLine="482" w:firstLineChars="200"/>
        <w:rPr>
          <w:rFonts w:ascii="新宋体" w:hAnsi="新宋体" w:eastAsia="新宋体"/>
          <w:color w:val="000000"/>
          <w:sz w:val="24"/>
        </w:rPr>
      </w:pPr>
      <w:r>
        <w:rPr>
          <w:rFonts w:hint="eastAsia" w:ascii="新宋体" w:hAnsi="新宋体" w:eastAsia="新宋体"/>
          <w:b/>
          <w:color w:val="000000"/>
          <w:sz w:val="24"/>
        </w:rPr>
        <w:t>（一）机关运行经费支出情况</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2017年度，行政审批局机关运行经费支出54.85万元，比2016年增加24.78万元，增长82.41%。</w:t>
      </w:r>
    </w:p>
    <w:p>
      <w:pPr>
        <w:autoSpaceDE w:val="0"/>
        <w:autoSpaceDN w:val="0"/>
        <w:adjustRightInd w:val="0"/>
        <w:spacing w:line="360" w:lineRule="auto"/>
        <w:ind w:firstLine="482" w:firstLineChars="200"/>
        <w:jc w:val="left"/>
        <w:rPr>
          <w:rFonts w:ascii="新宋体" w:hAnsi="新宋体" w:eastAsia="新宋体"/>
          <w:b/>
          <w:color w:val="000000"/>
          <w:sz w:val="24"/>
        </w:rPr>
      </w:pPr>
      <w:r>
        <w:rPr>
          <w:rFonts w:hint="eastAsia" w:ascii="新宋体" w:hAnsi="新宋体" w:eastAsia="新宋体"/>
          <w:b/>
          <w:color w:val="000000"/>
          <w:sz w:val="24"/>
        </w:rPr>
        <w:t>（二）政府采购支出情况</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2017年度，行政审批局政府采购支出总额82.82万元，其中：政府采购工程支出82.82万元。主要用于政务服务大厅的装修及改造。</w:t>
      </w:r>
    </w:p>
    <w:p>
      <w:pPr>
        <w:autoSpaceDE w:val="0"/>
        <w:autoSpaceDN w:val="0"/>
        <w:adjustRightInd w:val="0"/>
        <w:spacing w:line="360" w:lineRule="auto"/>
        <w:ind w:firstLine="482" w:firstLineChars="200"/>
        <w:jc w:val="left"/>
        <w:rPr>
          <w:rFonts w:ascii="新宋体" w:hAnsi="新宋体" w:eastAsia="新宋体"/>
          <w:b/>
          <w:color w:val="000000"/>
          <w:sz w:val="24"/>
        </w:rPr>
      </w:pPr>
      <w:r>
        <w:rPr>
          <w:rFonts w:hint="eastAsia" w:ascii="新宋体" w:hAnsi="新宋体" w:eastAsia="新宋体"/>
          <w:b/>
          <w:color w:val="000000"/>
          <w:sz w:val="24"/>
        </w:rPr>
        <w:t>（三）国有资产占有使用情况</w:t>
      </w:r>
    </w:p>
    <w:p>
      <w:pPr>
        <w:autoSpaceDE w:val="0"/>
        <w:autoSpaceDN w:val="0"/>
        <w:adjustRightInd w:val="0"/>
        <w:spacing w:line="600" w:lineRule="exact"/>
        <w:ind w:firstLine="480" w:firstLineChars="200"/>
        <w:jc w:val="left"/>
        <w:rPr>
          <w:rFonts w:ascii="新宋体" w:hAnsi="新宋体" w:eastAsia="新宋体"/>
          <w:color w:val="000000"/>
          <w:sz w:val="24"/>
        </w:rPr>
      </w:pPr>
      <w:r>
        <w:rPr>
          <w:rFonts w:hint="eastAsia" w:ascii="新宋体" w:hAnsi="新宋体" w:eastAsia="新宋体"/>
          <w:color w:val="000000"/>
          <w:sz w:val="24"/>
        </w:rPr>
        <w:t>截至2017年12月31日，行政审批局无车辆，无单价50万元以上通用设备和单价100万元以上专用设备。</w:t>
      </w:r>
    </w:p>
    <w:p>
      <w:pPr>
        <w:autoSpaceDE w:val="0"/>
        <w:autoSpaceDN w:val="0"/>
        <w:adjustRightInd w:val="0"/>
        <w:spacing w:line="360" w:lineRule="auto"/>
        <w:ind w:firstLine="482" w:firstLineChars="200"/>
        <w:jc w:val="left"/>
        <w:rPr>
          <w:rFonts w:ascii="新宋体" w:hAnsi="新宋体" w:eastAsia="新宋体"/>
          <w:b/>
          <w:color w:val="000000"/>
          <w:sz w:val="24"/>
        </w:rPr>
      </w:pPr>
      <w:r>
        <w:rPr>
          <w:rFonts w:hint="eastAsia" w:ascii="新宋体" w:hAnsi="新宋体" w:eastAsia="新宋体"/>
          <w:b/>
          <w:color w:val="000000"/>
          <w:sz w:val="24"/>
        </w:rPr>
        <w:t>（四）预算绩效情况</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1.绩效目标管理情况。</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按照预算绩效管理要求，本部门对2017年一般公共预算项目支出开展了绩效目标管理，共编制绩效目标11个，涉及财政资金373.00万元，覆盖率达到100%。</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2.部门整体支出绩效自评开展情况。</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按照预算绩效管理要求，本部门对2017年整体支出开展绩效自评，自评得分96分，存在的问题：一是</w:t>
      </w:r>
      <w:r>
        <w:rPr>
          <w:rFonts w:ascii="新宋体" w:hAnsi="新宋体" w:eastAsia="新宋体"/>
          <w:color w:val="000000"/>
          <w:sz w:val="24"/>
        </w:rPr>
        <w:t>预算执行分析不够深入；二是预算执行进度不均衡。</w:t>
      </w:r>
      <w:r>
        <w:rPr>
          <w:rFonts w:hint="eastAsia" w:ascii="新宋体" w:hAnsi="新宋体" w:eastAsia="新宋体"/>
          <w:color w:val="000000"/>
          <w:sz w:val="24"/>
        </w:rPr>
        <w:t>下一步改进措施：一是一是细化预算编制工作, 进一步提高预算编制的科学性、合理性、严谨性和可控性。二是加强预算执行管理。三是加强财务管理，严格财务审批。</w:t>
      </w:r>
    </w:p>
    <w:p>
      <w:pPr>
        <w:spacing w:line="360" w:lineRule="auto"/>
        <w:ind w:firstLine="482" w:firstLineChars="200"/>
        <w:rPr>
          <w:rFonts w:ascii="新宋体" w:hAnsi="新宋体" w:eastAsia="新宋体"/>
          <w:b/>
          <w:color w:val="000000"/>
          <w:sz w:val="24"/>
        </w:rPr>
      </w:pPr>
    </w:p>
    <w:p>
      <w:pPr>
        <w:spacing w:line="360" w:lineRule="auto"/>
        <w:jc w:val="center"/>
        <w:rPr>
          <w:rFonts w:ascii="新宋体" w:hAnsi="新宋体" w:eastAsia="新宋体"/>
          <w:color w:val="000000"/>
          <w:sz w:val="24"/>
        </w:rPr>
      </w:pPr>
      <w:r>
        <w:rPr>
          <w:rFonts w:hint="eastAsia" w:ascii="新宋体" w:hAnsi="新宋体" w:eastAsia="新宋体"/>
          <w:color w:val="000000"/>
          <w:sz w:val="24"/>
        </w:rPr>
        <w:t>2017年部门整体支出绩效评价得分表</w:t>
      </w:r>
    </w:p>
    <w:tbl>
      <w:tblPr>
        <w:tblStyle w:val="8"/>
        <w:tblW w:w="9498" w:type="dxa"/>
        <w:tblInd w:w="-176" w:type="dxa"/>
        <w:tblLayout w:type="fixed"/>
        <w:tblCellMar>
          <w:top w:w="0" w:type="dxa"/>
          <w:left w:w="108" w:type="dxa"/>
          <w:bottom w:w="0" w:type="dxa"/>
          <w:right w:w="108" w:type="dxa"/>
        </w:tblCellMar>
      </w:tblPr>
      <w:tblGrid>
        <w:gridCol w:w="1702"/>
        <w:gridCol w:w="2268"/>
        <w:gridCol w:w="3402"/>
        <w:gridCol w:w="2126"/>
      </w:tblGrid>
      <w:tr>
        <w:tblPrEx>
          <w:tblLayout w:type="fixed"/>
          <w:tblCellMar>
            <w:top w:w="0" w:type="dxa"/>
            <w:left w:w="108" w:type="dxa"/>
            <w:bottom w:w="0" w:type="dxa"/>
            <w:right w:w="108" w:type="dxa"/>
          </w:tblCellMar>
        </w:tblPrEx>
        <w:trPr>
          <w:trHeight w:val="240"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b/>
                <w:bCs/>
                <w:color w:val="000000"/>
                <w:kern w:val="0"/>
                <w:sz w:val="24"/>
              </w:rPr>
            </w:pPr>
            <w:r>
              <w:rPr>
                <w:rFonts w:hint="eastAsia" w:ascii="新宋体" w:hAnsi="新宋体" w:eastAsia="新宋体" w:cs="宋体"/>
                <w:b/>
                <w:bCs/>
                <w:color w:val="000000"/>
                <w:kern w:val="0"/>
                <w:sz w:val="24"/>
              </w:rPr>
              <w:t>一级指标</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b/>
                <w:bCs/>
                <w:color w:val="000000"/>
                <w:kern w:val="0"/>
                <w:sz w:val="24"/>
              </w:rPr>
            </w:pPr>
            <w:r>
              <w:rPr>
                <w:rFonts w:hint="eastAsia" w:ascii="新宋体" w:hAnsi="新宋体" w:eastAsia="新宋体" w:cs="宋体"/>
                <w:b/>
                <w:bCs/>
                <w:color w:val="000000"/>
                <w:kern w:val="0"/>
                <w:sz w:val="24"/>
              </w:rPr>
              <w:t>二级指标</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b/>
                <w:bCs/>
                <w:color w:val="000000"/>
                <w:kern w:val="0"/>
                <w:sz w:val="24"/>
              </w:rPr>
            </w:pPr>
            <w:r>
              <w:rPr>
                <w:rFonts w:hint="eastAsia" w:ascii="新宋体" w:hAnsi="新宋体" w:eastAsia="新宋体" w:cs="宋体"/>
                <w:b/>
                <w:bCs/>
                <w:color w:val="000000"/>
                <w:kern w:val="0"/>
                <w:sz w:val="24"/>
              </w:rPr>
              <w:t>三级指标</w:t>
            </w:r>
          </w:p>
        </w:tc>
        <w:tc>
          <w:tcPr>
            <w:tcW w:w="2126" w:type="dxa"/>
            <w:tcBorders>
              <w:top w:val="single" w:color="auto" w:sz="4" w:space="0"/>
              <w:left w:val="nil"/>
              <w:bottom w:val="single" w:color="auto" w:sz="4" w:space="0"/>
              <w:right w:val="single" w:color="auto" w:sz="4" w:space="0"/>
            </w:tcBorders>
          </w:tcPr>
          <w:p>
            <w:pPr>
              <w:widowControl/>
              <w:spacing w:line="360" w:lineRule="auto"/>
              <w:jc w:val="center"/>
              <w:rPr>
                <w:rFonts w:ascii="新宋体" w:hAnsi="新宋体" w:eastAsia="新宋体" w:cs="宋体"/>
                <w:b/>
                <w:bCs/>
                <w:color w:val="000000"/>
                <w:kern w:val="0"/>
                <w:sz w:val="24"/>
              </w:rPr>
            </w:pPr>
            <w:r>
              <w:rPr>
                <w:rFonts w:hint="eastAsia" w:ascii="新宋体" w:hAnsi="新宋体" w:eastAsia="新宋体" w:cs="宋体"/>
                <w:b/>
                <w:bCs/>
                <w:color w:val="000000"/>
                <w:kern w:val="0"/>
                <w:sz w:val="24"/>
              </w:rPr>
              <w:t>得分</w:t>
            </w:r>
          </w:p>
        </w:tc>
      </w:tr>
      <w:tr>
        <w:tblPrEx>
          <w:tblLayout w:type="fixed"/>
          <w:tblCellMar>
            <w:top w:w="0" w:type="dxa"/>
            <w:left w:w="108" w:type="dxa"/>
            <w:bottom w:w="0" w:type="dxa"/>
            <w:right w:w="108" w:type="dxa"/>
          </w:tblCellMar>
        </w:tblPrEx>
        <w:trPr>
          <w:trHeight w:val="520" w:hRule="atLeast"/>
        </w:trPr>
        <w:tc>
          <w:tcPr>
            <w:tcW w:w="1702"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部门决策（25分）</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目标任务（15分）</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相关性（5分）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明确性（5分）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r>
      <w:tr>
        <w:tblPrEx>
          <w:tblLayout w:type="fixed"/>
          <w:tblCellMar>
            <w:top w:w="0" w:type="dxa"/>
            <w:left w:w="108" w:type="dxa"/>
            <w:bottom w:w="0" w:type="dxa"/>
            <w:right w:w="108" w:type="dxa"/>
          </w:tblCellMar>
        </w:tblPrEx>
        <w:trPr>
          <w:trHeight w:val="420" w:hRule="atLeast"/>
        </w:trPr>
        <w:tc>
          <w:tcPr>
            <w:tcW w:w="1702" w:type="dxa"/>
            <w:vMerge w:val="continue"/>
            <w:tcBorders>
              <w:left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合理性（5分）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r>
      <w:tr>
        <w:tblPrEx>
          <w:tblLayout w:type="fixed"/>
          <w:tblCellMar>
            <w:top w:w="0" w:type="dxa"/>
            <w:left w:w="108" w:type="dxa"/>
            <w:bottom w:w="0" w:type="dxa"/>
            <w:right w:w="108" w:type="dxa"/>
          </w:tblCellMar>
        </w:tblPrEx>
        <w:trPr>
          <w:trHeight w:val="269" w:hRule="atLeast"/>
        </w:trPr>
        <w:tc>
          <w:tcPr>
            <w:tcW w:w="1702" w:type="dxa"/>
            <w:vMerge w:val="continue"/>
            <w:tcBorders>
              <w:left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预算编制（10分）</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测算依据（5分）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r>
      <w:tr>
        <w:tblPrEx>
          <w:tblLayout w:type="fixed"/>
          <w:tblCellMar>
            <w:top w:w="0" w:type="dxa"/>
            <w:left w:w="108" w:type="dxa"/>
            <w:bottom w:w="0" w:type="dxa"/>
            <w:right w:w="108" w:type="dxa"/>
          </w:tblCellMar>
        </w:tblPrEx>
        <w:trPr>
          <w:trHeight w:val="231" w:hRule="atLeast"/>
        </w:trPr>
        <w:tc>
          <w:tcPr>
            <w:tcW w:w="1702"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目标管理（5分）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r>
      <w:tr>
        <w:tblPrEx>
          <w:tblLayout w:type="fixed"/>
          <w:tblCellMar>
            <w:top w:w="0" w:type="dxa"/>
            <w:left w:w="108" w:type="dxa"/>
            <w:bottom w:w="0" w:type="dxa"/>
            <w:right w:w="108" w:type="dxa"/>
          </w:tblCellMar>
        </w:tblPrEx>
        <w:trPr>
          <w:trHeight w:val="477" w:hRule="atLeast"/>
        </w:trPr>
        <w:tc>
          <w:tcPr>
            <w:tcW w:w="1702"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综合管理（30分）</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专项资金分配时限（2分）</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省级财力专项预算分配时限（1分）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1</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宋体"/>
                <w:color w:val="000000"/>
                <w:kern w:val="0"/>
                <w:sz w:val="24"/>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中央专款分配合规率（1分）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1</w:t>
            </w:r>
          </w:p>
        </w:tc>
      </w:tr>
      <w:tr>
        <w:tblPrEx>
          <w:tblLayout w:type="fixed"/>
          <w:tblCellMar>
            <w:top w:w="0" w:type="dxa"/>
            <w:left w:w="108" w:type="dxa"/>
            <w:bottom w:w="0" w:type="dxa"/>
            <w:right w:w="108" w:type="dxa"/>
          </w:tblCellMar>
        </w:tblPrEx>
        <w:trPr>
          <w:trHeight w:val="277" w:hRule="atLeast"/>
        </w:trPr>
        <w:tc>
          <w:tcPr>
            <w:tcW w:w="1702"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宋体"/>
                <w:color w:val="000000"/>
                <w:kern w:val="0"/>
                <w:sz w:val="24"/>
              </w:rPr>
            </w:pPr>
          </w:p>
        </w:tc>
        <w:tc>
          <w:tcPr>
            <w:tcW w:w="226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中期评估（2分）</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kern w:val="0"/>
                <w:sz w:val="24"/>
              </w:rPr>
            </w:pPr>
            <w:r>
              <w:rPr>
                <w:rFonts w:hint="eastAsia" w:ascii="新宋体" w:hAnsi="新宋体" w:eastAsia="新宋体" w:cs="宋体"/>
                <w:kern w:val="0"/>
                <w:sz w:val="24"/>
              </w:rPr>
              <w:t>执行中期评估（2分）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kern w:val="0"/>
                <w:sz w:val="24"/>
                <w:highlight w:val="yellow"/>
              </w:rPr>
            </w:pPr>
            <w:r>
              <w:rPr>
                <w:rFonts w:hint="eastAsia" w:ascii="新宋体" w:hAnsi="新宋体" w:eastAsia="新宋体" w:cs="宋体"/>
                <w:kern w:val="0"/>
                <w:sz w:val="24"/>
              </w:rPr>
              <w:t>2</w:t>
            </w:r>
          </w:p>
        </w:tc>
      </w:tr>
      <w:tr>
        <w:tblPrEx>
          <w:tblLayout w:type="fixed"/>
          <w:tblCellMar>
            <w:top w:w="0" w:type="dxa"/>
            <w:left w:w="108" w:type="dxa"/>
            <w:bottom w:w="0" w:type="dxa"/>
            <w:right w:w="108" w:type="dxa"/>
          </w:tblCellMar>
        </w:tblPrEx>
        <w:trPr>
          <w:trHeight w:val="381" w:hRule="atLeast"/>
        </w:trPr>
        <w:tc>
          <w:tcPr>
            <w:tcW w:w="1702"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宋体"/>
                <w:color w:val="000000"/>
                <w:kern w:val="0"/>
                <w:sz w:val="24"/>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绩效监控（5分）</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预算执行进度监控（2分）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2</w:t>
            </w:r>
          </w:p>
        </w:tc>
      </w:tr>
      <w:tr>
        <w:tblPrEx>
          <w:tblLayout w:type="fixed"/>
          <w:tblCellMar>
            <w:top w:w="0" w:type="dxa"/>
            <w:left w:w="108" w:type="dxa"/>
            <w:bottom w:w="0" w:type="dxa"/>
            <w:right w:w="108" w:type="dxa"/>
          </w:tblCellMar>
        </w:tblPrEx>
        <w:trPr>
          <w:trHeight w:val="273" w:hRule="atLeast"/>
        </w:trPr>
        <w:tc>
          <w:tcPr>
            <w:tcW w:w="1702"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宋体"/>
                <w:color w:val="000000"/>
                <w:kern w:val="0"/>
                <w:sz w:val="24"/>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绩效目标动态监控（3分）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3</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shd w:val="clear" w:color="auto" w:fill="auto"/>
            <w:vAlign w:val="center"/>
          </w:tcPr>
          <w:p>
            <w:pPr>
              <w:spacing w:line="360" w:lineRule="auto"/>
              <w:jc w:val="center"/>
              <w:rPr>
                <w:rFonts w:ascii="新宋体" w:hAnsi="新宋体" w:eastAsia="新宋体" w:cs="宋体"/>
                <w:color w:val="000000"/>
                <w:kern w:val="0"/>
                <w:sz w:val="24"/>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非税收入执收情况（2分）</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非税收入征收情况（1分）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1</w:t>
            </w:r>
          </w:p>
        </w:tc>
      </w:tr>
      <w:tr>
        <w:tblPrEx>
          <w:tblLayout w:type="fixed"/>
          <w:tblCellMar>
            <w:top w:w="0" w:type="dxa"/>
            <w:left w:w="108" w:type="dxa"/>
            <w:bottom w:w="0" w:type="dxa"/>
            <w:right w:w="108" w:type="dxa"/>
          </w:tblCellMar>
        </w:tblPrEx>
        <w:trPr>
          <w:trHeight w:val="325" w:hRule="atLeast"/>
        </w:trPr>
        <w:tc>
          <w:tcPr>
            <w:tcW w:w="1702"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宋体"/>
                <w:color w:val="000000"/>
                <w:kern w:val="0"/>
                <w:sz w:val="24"/>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非税收入上缴情况（1分）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1</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宋体"/>
                <w:color w:val="000000"/>
                <w:kern w:val="0"/>
                <w:sz w:val="24"/>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资产管理（6分）</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资产管理信息化情况（2分）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2</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宋体"/>
                <w:color w:val="000000"/>
                <w:kern w:val="0"/>
                <w:sz w:val="24"/>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行政事业单位资产报告情况（2分）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2</w:t>
            </w:r>
          </w:p>
        </w:tc>
      </w:tr>
      <w:tr>
        <w:tblPrEx>
          <w:tblLayout w:type="fixed"/>
          <w:tblCellMar>
            <w:top w:w="0" w:type="dxa"/>
            <w:left w:w="108" w:type="dxa"/>
            <w:bottom w:w="0" w:type="dxa"/>
            <w:right w:w="108" w:type="dxa"/>
          </w:tblCellMar>
        </w:tblPrEx>
        <w:trPr>
          <w:trHeight w:val="353" w:hRule="atLeast"/>
        </w:trPr>
        <w:tc>
          <w:tcPr>
            <w:tcW w:w="1702"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宋体"/>
                <w:color w:val="000000"/>
                <w:kern w:val="0"/>
                <w:sz w:val="24"/>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资产管理与预算管理相结合（2分）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2</w:t>
            </w:r>
          </w:p>
        </w:tc>
      </w:tr>
      <w:tr>
        <w:tblPrEx>
          <w:tblLayout w:type="fixed"/>
          <w:tblCellMar>
            <w:top w:w="0" w:type="dxa"/>
            <w:left w:w="108" w:type="dxa"/>
            <w:bottom w:w="0" w:type="dxa"/>
            <w:right w:w="108" w:type="dxa"/>
          </w:tblCellMar>
        </w:tblPrEx>
        <w:trPr>
          <w:trHeight w:val="272" w:hRule="atLeast"/>
        </w:trPr>
        <w:tc>
          <w:tcPr>
            <w:tcW w:w="1702" w:type="dxa"/>
            <w:vMerge w:val="continue"/>
            <w:tcBorders>
              <w:left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p>
        </w:tc>
        <w:tc>
          <w:tcPr>
            <w:tcW w:w="226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内控制度管理（2分）</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内部控制度健全完整（2分）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2</w:t>
            </w:r>
          </w:p>
        </w:tc>
      </w:tr>
      <w:tr>
        <w:tblPrEx>
          <w:tblLayout w:type="fixed"/>
          <w:tblCellMar>
            <w:top w:w="0" w:type="dxa"/>
            <w:left w:w="108" w:type="dxa"/>
            <w:bottom w:w="0" w:type="dxa"/>
            <w:right w:w="108" w:type="dxa"/>
          </w:tblCellMar>
        </w:tblPrEx>
        <w:trPr>
          <w:trHeight w:val="221" w:hRule="atLeast"/>
        </w:trPr>
        <w:tc>
          <w:tcPr>
            <w:tcW w:w="1702" w:type="dxa"/>
            <w:vMerge w:val="continue"/>
            <w:tcBorders>
              <w:left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信息公开（6分）</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预算公开（2分）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2</w:t>
            </w:r>
          </w:p>
        </w:tc>
      </w:tr>
      <w:tr>
        <w:tblPrEx>
          <w:tblLayout w:type="fixed"/>
          <w:tblCellMar>
            <w:top w:w="0" w:type="dxa"/>
            <w:left w:w="108" w:type="dxa"/>
            <w:bottom w:w="0" w:type="dxa"/>
            <w:right w:w="108" w:type="dxa"/>
          </w:tblCellMar>
        </w:tblPrEx>
        <w:trPr>
          <w:trHeight w:val="197" w:hRule="atLeast"/>
        </w:trPr>
        <w:tc>
          <w:tcPr>
            <w:tcW w:w="1702" w:type="dxa"/>
            <w:vMerge w:val="continue"/>
            <w:tcBorders>
              <w:left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决算公开（2分）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2</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绩效信息公开（2分）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2</w:t>
            </w:r>
          </w:p>
        </w:tc>
      </w:tr>
      <w:tr>
        <w:tblPrEx>
          <w:tblLayout w:type="fixed"/>
          <w:tblCellMar>
            <w:top w:w="0" w:type="dxa"/>
            <w:left w:w="108" w:type="dxa"/>
            <w:bottom w:w="0" w:type="dxa"/>
            <w:right w:w="108" w:type="dxa"/>
          </w:tblCellMar>
        </w:tblPrEx>
        <w:trPr>
          <w:trHeight w:val="405" w:hRule="atLeast"/>
        </w:trPr>
        <w:tc>
          <w:tcPr>
            <w:tcW w:w="1702" w:type="dxa"/>
            <w:vMerge w:val="continue"/>
            <w:tcBorders>
              <w:left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绩效评价（5分）</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绩效评价开展（2分）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2</w:t>
            </w:r>
          </w:p>
        </w:tc>
      </w:tr>
      <w:tr>
        <w:tblPrEx>
          <w:tblLayout w:type="fixed"/>
          <w:tblCellMar>
            <w:top w:w="0" w:type="dxa"/>
            <w:left w:w="108" w:type="dxa"/>
            <w:bottom w:w="0" w:type="dxa"/>
            <w:right w:w="108" w:type="dxa"/>
          </w:tblCellMar>
        </w:tblPrEx>
        <w:trPr>
          <w:trHeight w:val="127" w:hRule="atLeast"/>
        </w:trPr>
        <w:tc>
          <w:tcPr>
            <w:tcW w:w="1702"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评价结果应用（3分）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3</w:t>
            </w:r>
          </w:p>
        </w:tc>
      </w:tr>
      <w:tr>
        <w:tblPrEx>
          <w:tblLayout w:type="fixed"/>
          <w:tblCellMar>
            <w:top w:w="0" w:type="dxa"/>
            <w:left w:w="108" w:type="dxa"/>
            <w:bottom w:w="0" w:type="dxa"/>
            <w:right w:w="108" w:type="dxa"/>
          </w:tblCellMar>
        </w:tblPrEx>
        <w:trPr>
          <w:trHeight w:val="231" w:hRule="atLeast"/>
        </w:trPr>
        <w:tc>
          <w:tcPr>
            <w:tcW w:w="1702"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部门绩效情况（45分）</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履职成效（20分）</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部门特性指标</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kern w:val="0"/>
                <w:sz w:val="24"/>
              </w:rPr>
            </w:pPr>
            <w:r>
              <w:rPr>
                <w:rFonts w:hint="eastAsia" w:ascii="新宋体" w:hAnsi="新宋体" w:eastAsia="新宋体" w:cs="宋体"/>
                <w:kern w:val="0"/>
                <w:sz w:val="24"/>
              </w:rPr>
              <w:t>18</w:t>
            </w:r>
          </w:p>
        </w:tc>
      </w:tr>
      <w:tr>
        <w:tblPrEx>
          <w:tblLayout w:type="fixed"/>
          <w:tblCellMar>
            <w:top w:w="0" w:type="dxa"/>
            <w:left w:w="108" w:type="dxa"/>
            <w:bottom w:w="0" w:type="dxa"/>
            <w:right w:w="108" w:type="dxa"/>
          </w:tblCellMar>
        </w:tblPrEx>
        <w:trPr>
          <w:trHeight w:val="180" w:hRule="atLeast"/>
        </w:trPr>
        <w:tc>
          <w:tcPr>
            <w:tcW w:w="1702" w:type="dxa"/>
            <w:vMerge w:val="continue"/>
            <w:tcBorders>
              <w:left w:val="single" w:color="auto" w:sz="4" w:space="0"/>
              <w:right w:val="single" w:color="auto" w:sz="4" w:space="0"/>
            </w:tcBorders>
            <w:vAlign w:val="center"/>
          </w:tcPr>
          <w:p>
            <w:pPr>
              <w:spacing w:line="360" w:lineRule="auto"/>
              <w:jc w:val="left"/>
              <w:rPr>
                <w:rFonts w:ascii="新宋体" w:hAnsi="新宋体" w:eastAsia="新宋体" w:cs="宋体"/>
                <w:color w:val="000000"/>
                <w:kern w:val="0"/>
                <w:sz w:val="24"/>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kern w:val="0"/>
                <w:sz w:val="24"/>
              </w:rPr>
            </w:pP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vAlign w:val="center"/>
          </w:tcPr>
          <w:p>
            <w:pPr>
              <w:spacing w:line="360" w:lineRule="auto"/>
              <w:jc w:val="left"/>
              <w:rPr>
                <w:rFonts w:ascii="新宋体" w:hAnsi="新宋体" w:eastAsia="新宋体" w:cs="宋体"/>
                <w:color w:val="000000"/>
                <w:kern w:val="0"/>
                <w:sz w:val="24"/>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kern w:val="0"/>
                <w:sz w:val="24"/>
              </w:rPr>
            </w:pP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vAlign w:val="center"/>
          </w:tcPr>
          <w:p>
            <w:pPr>
              <w:spacing w:line="360" w:lineRule="auto"/>
              <w:jc w:val="left"/>
              <w:rPr>
                <w:rFonts w:ascii="新宋体" w:hAnsi="新宋体" w:eastAsia="新宋体" w:cs="宋体"/>
                <w:color w:val="000000"/>
                <w:kern w:val="0"/>
                <w:sz w:val="24"/>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kern w:val="0"/>
                <w:sz w:val="24"/>
              </w:rPr>
            </w:pPr>
          </w:p>
        </w:tc>
      </w:tr>
      <w:tr>
        <w:tblPrEx>
          <w:tblLayout w:type="fixed"/>
          <w:tblCellMar>
            <w:top w:w="0" w:type="dxa"/>
            <w:left w:w="108" w:type="dxa"/>
            <w:bottom w:w="0" w:type="dxa"/>
            <w:right w:w="108" w:type="dxa"/>
          </w:tblCellMar>
        </w:tblPrEx>
        <w:trPr>
          <w:trHeight w:val="157" w:hRule="atLeast"/>
        </w:trPr>
        <w:tc>
          <w:tcPr>
            <w:tcW w:w="1702" w:type="dxa"/>
            <w:vMerge w:val="continue"/>
            <w:tcBorders>
              <w:left w:val="single" w:color="auto" w:sz="4" w:space="0"/>
              <w:right w:val="single" w:color="auto" w:sz="4" w:space="0"/>
            </w:tcBorders>
            <w:shd w:val="clear" w:color="auto" w:fill="auto"/>
            <w:vAlign w:val="center"/>
          </w:tcPr>
          <w:p>
            <w:pPr>
              <w:spacing w:line="360" w:lineRule="auto"/>
              <w:jc w:val="left"/>
              <w:rPr>
                <w:rFonts w:ascii="新宋体" w:hAnsi="新宋体" w:eastAsia="新宋体" w:cs="宋体"/>
                <w:color w:val="000000"/>
                <w:kern w:val="0"/>
                <w:sz w:val="24"/>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r>
              <w:rPr>
                <w:rFonts w:hint="eastAsia" w:ascii="新宋体" w:hAnsi="新宋体" w:eastAsia="新宋体" w:cs="宋体"/>
                <w:color w:val="000000"/>
                <w:kern w:val="0"/>
                <w:sz w:val="24"/>
              </w:rPr>
              <w:t>可持续发展能力（15分）</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重点改革（重点工作）完成情况（5分）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kern w:val="0"/>
                <w:sz w:val="24"/>
              </w:rPr>
            </w:pPr>
            <w:r>
              <w:rPr>
                <w:rFonts w:hint="eastAsia" w:ascii="新宋体" w:hAnsi="新宋体" w:eastAsia="新宋体" w:cs="宋体"/>
                <w:kern w:val="0"/>
                <w:sz w:val="24"/>
              </w:rPr>
              <w:t>5</w:t>
            </w:r>
          </w:p>
        </w:tc>
      </w:tr>
      <w:tr>
        <w:tblPrEx>
          <w:tblLayout w:type="fixed"/>
          <w:tblCellMar>
            <w:top w:w="0" w:type="dxa"/>
            <w:left w:w="108" w:type="dxa"/>
            <w:bottom w:w="0" w:type="dxa"/>
            <w:right w:w="108" w:type="dxa"/>
          </w:tblCellMar>
        </w:tblPrEx>
        <w:trPr>
          <w:trHeight w:val="320" w:hRule="atLeast"/>
        </w:trPr>
        <w:tc>
          <w:tcPr>
            <w:tcW w:w="1702" w:type="dxa"/>
            <w:vMerge w:val="continue"/>
            <w:tcBorders>
              <w:left w:val="single" w:color="auto" w:sz="4" w:space="0"/>
              <w:right w:val="single" w:color="auto" w:sz="4" w:space="0"/>
            </w:tcBorders>
            <w:vAlign w:val="center"/>
          </w:tcPr>
          <w:p>
            <w:pPr>
              <w:spacing w:line="360" w:lineRule="auto"/>
              <w:jc w:val="left"/>
              <w:rPr>
                <w:rFonts w:ascii="新宋体" w:hAnsi="新宋体" w:eastAsia="新宋体" w:cs="宋体"/>
                <w:color w:val="000000"/>
                <w:kern w:val="0"/>
                <w:sz w:val="24"/>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科技（制度、方法、机制等）创新（5分）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kern w:val="0"/>
                <w:sz w:val="24"/>
              </w:rPr>
            </w:pPr>
            <w:r>
              <w:rPr>
                <w:rFonts w:hint="eastAsia" w:ascii="新宋体" w:hAnsi="新宋体" w:eastAsia="新宋体" w:cs="宋体"/>
                <w:kern w:val="0"/>
                <w:sz w:val="24"/>
              </w:rPr>
              <w:t>4</w:t>
            </w:r>
          </w:p>
        </w:tc>
      </w:tr>
      <w:tr>
        <w:tblPrEx>
          <w:tblLayout w:type="fixed"/>
          <w:tblCellMar>
            <w:top w:w="0" w:type="dxa"/>
            <w:left w:w="108" w:type="dxa"/>
            <w:bottom w:w="0" w:type="dxa"/>
            <w:right w:w="108" w:type="dxa"/>
          </w:tblCellMar>
        </w:tblPrEx>
        <w:trPr>
          <w:trHeight w:val="385" w:hRule="atLeast"/>
        </w:trPr>
        <w:tc>
          <w:tcPr>
            <w:tcW w:w="1702" w:type="dxa"/>
            <w:vMerge w:val="continue"/>
            <w:tcBorders>
              <w:left w:val="single" w:color="auto" w:sz="4" w:space="0"/>
              <w:right w:val="single" w:color="auto" w:sz="4" w:space="0"/>
            </w:tcBorders>
            <w:vAlign w:val="center"/>
          </w:tcPr>
          <w:p>
            <w:pPr>
              <w:spacing w:line="360" w:lineRule="auto"/>
              <w:jc w:val="left"/>
              <w:rPr>
                <w:rFonts w:ascii="新宋体" w:hAnsi="新宋体" w:eastAsia="新宋体" w:cs="宋体"/>
                <w:color w:val="000000"/>
                <w:kern w:val="0"/>
                <w:sz w:val="24"/>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人才培养（5分）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kern w:val="0"/>
                <w:sz w:val="24"/>
              </w:rPr>
            </w:pPr>
            <w:r>
              <w:rPr>
                <w:rFonts w:hint="eastAsia" w:ascii="新宋体" w:hAnsi="新宋体" w:eastAsia="新宋体" w:cs="宋体"/>
                <w:kern w:val="0"/>
                <w:sz w:val="24"/>
              </w:rPr>
              <w:t>4</w:t>
            </w:r>
          </w:p>
        </w:tc>
      </w:tr>
      <w:tr>
        <w:tblPrEx>
          <w:tblLayout w:type="fixed"/>
          <w:tblCellMar>
            <w:top w:w="0" w:type="dxa"/>
            <w:left w:w="108" w:type="dxa"/>
            <w:bottom w:w="0" w:type="dxa"/>
            <w:right w:w="108" w:type="dxa"/>
          </w:tblCellMar>
        </w:tblPrEx>
        <w:trPr>
          <w:trHeight w:val="432" w:hRule="atLeast"/>
        </w:trPr>
        <w:tc>
          <w:tcPr>
            <w:tcW w:w="1702" w:type="dxa"/>
            <w:vMerge w:val="continue"/>
            <w:tcBorders>
              <w:left w:val="single" w:color="auto" w:sz="4" w:space="0"/>
              <w:right w:val="single" w:color="auto" w:sz="4" w:space="0"/>
            </w:tcBorders>
            <w:vAlign w:val="center"/>
          </w:tcPr>
          <w:p>
            <w:pPr>
              <w:spacing w:line="360" w:lineRule="auto"/>
              <w:jc w:val="left"/>
              <w:rPr>
                <w:rFonts w:ascii="新宋体" w:hAnsi="新宋体" w:eastAsia="新宋体" w:cs="宋体"/>
                <w:color w:val="000000"/>
                <w:kern w:val="0"/>
                <w:sz w:val="24"/>
              </w:rPr>
            </w:pPr>
          </w:p>
        </w:tc>
        <w:tc>
          <w:tcPr>
            <w:tcW w:w="2268"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满意度（10分）</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协作部门满意度（3分）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3</w:t>
            </w:r>
          </w:p>
        </w:tc>
      </w:tr>
      <w:tr>
        <w:tblPrEx>
          <w:tblLayout w:type="fixed"/>
          <w:tblCellMar>
            <w:top w:w="0" w:type="dxa"/>
            <w:left w:w="108" w:type="dxa"/>
            <w:bottom w:w="0" w:type="dxa"/>
            <w:right w:w="108" w:type="dxa"/>
          </w:tblCellMar>
        </w:tblPrEx>
        <w:trPr>
          <w:trHeight w:val="396" w:hRule="atLeast"/>
        </w:trPr>
        <w:tc>
          <w:tcPr>
            <w:tcW w:w="1702" w:type="dxa"/>
            <w:vMerge w:val="continue"/>
            <w:tcBorders>
              <w:left w:val="single" w:color="auto" w:sz="4" w:space="0"/>
              <w:right w:val="single" w:color="auto" w:sz="4" w:space="0"/>
            </w:tcBorders>
            <w:vAlign w:val="center"/>
          </w:tcPr>
          <w:p>
            <w:pPr>
              <w:spacing w:line="360" w:lineRule="auto"/>
              <w:jc w:val="left"/>
              <w:rPr>
                <w:rFonts w:ascii="新宋体" w:hAnsi="新宋体" w:eastAsia="新宋体" w:cs="宋体"/>
                <w:color w:val="000000"/>
                <w:kern w:val="0"/>
                <w:sz w:val="24"/>
              </w:rPr>
            </w:pPr>
          </w:p>
        </w:tc>
        <w:tc>
          <w:tcPr>
            <w:tcW w:w="2268" w:type="dxa"/>
            <w:vMerge w:val="continue"/>
            <w:tcBorders>
              <w:left w:val="single" w:color="auto" w:sz="4" w:space="0"/>
              <w:right w:val="single" w:color="auto" w:sz="4" w:space="0"/>
            </w:tcBorders>
            <w:vAlign w:val="center"/>
          </w:tcPr>
          <w:p>
            <w:pPr>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管理对象满意度（3分）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3</w:t>
            </w:r>
          </w:p>
        </w:tc>
      </w:tr>
      <w:tr>
        <w:tblPrEx>
          <w:tblLayout w:type="fixed"/>
          <w:tblCellMar>
            <w:top w:w="0" w:type="dxa"/>
            <w:left w:w="108" w:type="dxa"/>
            <w:bottom w:w="0" w:type="dxa"/>
            <w:right w:w="108" w:type="dxa"/>
          </w:tblCellMar>
        </w:tblPrEx>
        <w:trPr>
          <w:trHeight w:val="411" w:hRule="atLeast"/>
        </w:trPr>
        <w:tc>
          <w:tcPr>
            <w:tcW w:w="1702" w:type="dxa"/>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p>
        </w:tc>
        <w:tc>
          <w:tcPr>
            <w:tcW w:w="2268" w:type="dxa"/>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新宋体" w:hAnsi="新宋体" w:eastAsia="新宋体" w:cs="宋体"/>
                <w:color w:val="000000"/>
                <w:kern w:val="0"/>
                <w:sz w:val="24"/>
              </w:rPr>
            </w:pP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社会公众满意度（4分）</w:t>
            </w:r>
          </w:p>
        </w:tc>
        <w:tc>
          <w:tcPr>
            <w:tcW w:w="2126" w:type="dxa"/>
            <w:tcBorders>
              <w:top w:val="nil"/>
              <w:left w:val="nil"/>
              <w:bottom w:val="single" w:color="auto" w:sz="4" w:space="0"/>
              <w:right w:val="single" w:color="auto" w:sz="4" w:space="0"/>
            </w:tcBorders>
          </w:tcPr>
          <w:p>
            <w:pPr>
              <w:widowControl/>
              <w:spacing w:line="360" w:lineRule="auto"/>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4</w:t>
            </w:r>
          </w:p>
        </w:tc>
      </w:tr>
    </w:tbl>
    <w:p>
      <w:pPr>
        <w:spacing w:line="600" w:lineRule="atLeast"/>
        <w:ind w:firstLine="480" w:firstLineChars="200"/>
        <w:rPr>
          <w:rFonts w:ascii="新宋体" w:hAnsi="新宋体" w:eastAsia="新宋体"/>
          <w:color w:val="000000"/>
          <w:sz w:val="24"/>
        </w:rPr>
      </w:pPr>
      <w:r>
        <w:rPr>
          <w:rFonts w:hint="eastAsia" w:ascii="新宋体" w:hAnsi="新宋体" w:eastAsia="新宋体"/>
          <w:color w:val="000000"/>
          <w:sz w:val="24"/>
        </w:rPr>
        <w:t>3.部门自行组织绩效评价开展情况。</w:t>
      </w:r>
    </w:p>
    <w:p>
      <w:pPr>
        <w:spacing w:line="600" w:lineRule="atLeast"/>
        <w:ind w:firstLine="480" w:firstLineChars="200"/>
        <w:rPr>
          <w:rFonts w:ascii="新宋体" w:hAnsi="新宋体" w:eastAsia="新宋体"/>
          <w:color w:val="000000"/>
          <w:sz w:val="24"/>
        </w:rPr>
      </w:pPr>
      <w:r>
        <w:rPr>
          <w:rFonts w:hint="eastAsia" w:ascii="新宋体" w:hAnsi="新宋体" w:eastAsia="新宋体"/>
          <w:color w:val="000000"/>
          <w:sz w:val="24"/>
        </w:rPr>
        <w:t>本部门对大厅运行经费项目开展了绩效评价，得分为95分，存在的问题：</w:t>
      </w:r>
      <w:r>
        <w:rPr>
          <w:rFonts w:ascii="新宋体" w:hAnsi="新宋体" w:eastAsia="新宋体"/>
          <w:color w:val="333333"/>
          <w:sz w:val="24"/>
          <w:shd w:val="clear" w:color="auto" w:fill="FFFFFF"/>
        </w:rPr>
        <w:t>部对绩效评价指标不熟悉，对指标对应支撑材料收集掌握不准确。下一步改进措施：一是严格预算执行。二是进一步规范项目绩效评价与管理。</w:t>
      </w:r>
    </w:p>
    <w:p>
      <w:pPr>
        <w:jc w:val="center"/>
        <w:rPr>
          <w:rFonts w:ascii="新宋体" w:hAnsi="新宋体" w:eastAsia="新宋体"/>
          <w:color w:val="000000"/>
          <w:sz w:val="24"/>
        </w:rPr>
      </w:pPr>
      <w:r>
        <w:rPr>
          <w:rFonts w:hint="eastAsia" w:ascii="新宋体" w:hAnsi="新宋体" w:eastAsia="新宋体"/>
          <w:color w:val="000000"/>
          <w:sz w:val="24"/>
        </w:rPr>
        <w:t>2017年项目支出绩效评价得分表</w:t>
      </w:r>
    </w:p>
    <w:tbl>
      <w:tblPr>
        <w:tblStyle w:val="8"/>
        <w:tblW w:w="9888" w:type="dxa"/>
        <w:jc w:val="center"/>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2113"/>
        <w:gridCol w:w="3535"/>
        <w:gridCol w:w="131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b/>
                <w:bCs/>
                <w:color w:val="000000"/>
                <w:kern w:val="0"/>
                <w:sz w:val="24"/>
              </w:rPr>
            </w:pPr>
            <w:r>
              <w:rPr>
                <w:rFonts w:hint="eastAsia" w:ascii="新宋体" w:hAnsi="新宋体" w:eastAsia="新宋体" w:cs="宋体"/>
                <w:b/>
                <w:bCs/>
                <w:color w:val="000000"/>
                <w:kern w:val="0"/>
                <w:sz w:val="24"/>
              </w:rPr>
              <w:t>项目名称</w:t>
            </w:r>
          </w:p>
        </w:tc>
        <w:tc>
          <w:tcPr>
            <w:tcW w:w="827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b/>
                <w:bCs/>
                <w:color w:val="000000"/>
                <w:kern w:val="0"/>
                <w:sz w:val="24"/>
              </w:rPr>
            </w:pPr>
            <w:r>
              <w:rPr>
                <w:rFonts w:hint="eastAsia" w:ascii="新宋体" w:hAnsi="新宋体" w:eastAsia="新宋体" w:cs="宋体"/>
                <w:b/>
                <w:bCs/>
                <w:color w:val="000000"/>
                <w:kern w:val="0"/>
                <w:sz w:val="24"/>
              </w:rPr>
              <w:t>大厅运行经费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b/>
                <w:bCs/>
                <w:color w:val="000000"/>
                <w:kern w:val="0"/>
                <w:sz w:val="24"/>
              </w:rPr>
            </w:pPr>
            <w:r>
              <w:rPr>
                <w:rFonts w:hint="eastAsia" w:ascii="新宋体" w:hAnsi="新宋体" w:eastAsia="新宋体" w:cs="宋体"/>
                <w:b/>
                <w:bCs/>
                <w:color w:val="000000"/>
                <w:kern w:val="0"/>
                <w:sz w:val="24"/>
              </w:rPr>
              <w:t>一级</w:t>
            </w:r>
          </w:p>
          <w:p>
            <w:pPr>
              <w:widowControl/>
              <w:spacing w:line="260" w:lineRule="exact"/>
              <w:jc w:val="center"/>
              <w:rPr>
                <w:rFonts w:ascii="新宋体" w:hAnsi="新宋体" w:eastAsia="新宋体" w:cs="宋体"/>
                <w:b/>
                <w:bCs/>
                <w:color w:val="000000"/>
                <w:kern w:val="0"/>
                <w:sz w:val="24"/>
              </w:rPr>
            </w:pPr>
            <w:r>
              <w:rPr>
                <w:rFonts w:hint="eastAsia" w:ascii="新宋体" w:hAnsi="新宋体" w:eastAsia="新宋体" w:cs="宋体"/>
                <w:b/>
                <w:bCs/>
                <w:color w:val="000000"/>
                <w:kern w:val="0"/>
                <w:sz w:val="24"/>
              </w:rPr>
              <w:t>指标</w:t>
            </w:r>
          </w:p>
        </w:tc>
        <w:tc>
          <w:tcPr>
            <w:tcW w:w="21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b/>
                <w:bCs/>
                <w:color w:val="000000"/>
                <w:kern w:val="0"/>
                <w:sz w:val="24"/>
              </w:rPr>
            </w:pPr>
            <w:r>
              <w:rPr>
                <w:rFonts w:hint="eastAsia" w:ascii="新宋体" w:hAnsi="新宋体" w:eastAsia="新宋体" w:cs="宋体"/>
                <w:b/>
                <w:bCs/>
                <w:color w:val="000000"/>
                <w:kern w:val="0"/>
                <w:sz w:val="24"/>
              </w:rPr>
              <w:t>二级</w:t>
            </w:r>
          </w:p>
          <w:p>
            <w:pPr>
              <w:widowControl/>
              <w:spacing w:line="260" w:lineRule="exact"/>
              <w:jc w:val="center"/>
              <w:rPr>
                <w:rFonts w:ascii="新宋体" w:hAnsi="新宋体" w:eastAsia="新宋体" w:cs="宋体"/>
                <w:b/>
                <w:bCs/>
                <w:color w:val="000000"/>
                <w:kern w:val="0"/>
                <w:sz w:val="24"/>
              </w:rPr>
            </w:pPr>
            <w:r>
              <w:rPr>
                <w:rFonts w:hint="eastAsia" w:ascii="新宋体" w:hAnsi="新宋体" w:eastAsia="新宋体" w:cs="宋体"/>
                <w:b/>
                <w:bCs/>
                <w:color w:val="000000"/>
                <w:kern w:val="0"/>
                <w:sz w:val="24"/>
              </w:rPr>
              <w:t>指标</w:t>
            </w: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b/>
                <w:bCs/>
                <w:color w:val="000000"/>
                <w:kern w:val="0"/>
                <w:sz w:val="24"/>
              </w:rPr>
            </w:pPr>
            <w:r>
              <w:rPr>
                <w:rFonts w:hint="eastAsia" w:ascii="新宋体" w:hAnsi="新宋体" w:eastAsia="新宋体" w:cs="宋体"/>
                <w:b/>
                <w:bCs/>
                <w:color w:val="000000"/>
                <w:kern w:val="0"/>
                <w:sz w:val="24"/>
              </w:rPr>
              <w:t>三级指标</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b/>
                <w:bCs/>
                <w:color w:val="000000"/>
                <w:kern w:val="0"/>
                <w:sz w:val="24"/>
              </w:rPr>
            </w:pPr>
            <w:r>
              <w:rPr>
                <w:rFonts w:hint="eastAsia" w:ascii="新宋体" w:hAnsi="新宋体" w:eastAsia="新宋体" w:cs="宋体"/>
                <w:b/>
                <w:bCs/>
                <w:color w:val="000000"/>
                <w:kern w:val="0"/>
                <w:sz w:val="24"/>
              </w:rPr>
              <w:t>分值</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b/>
                <w:bCs/>
                <w:color w:val="000000"/>
                <w:kern w:val="0"/>
                <w:sz w:val="24"/>
              </w:rPr>
            </w:pPr>
            <w:r>
              <w:rPr>
                <w:rFonts w:hint="eastAsia" w:ascii="新宋体" w:hAnsi="新宋体" w:eastAsia="新宋体" w:cs="宋体"/>
                <w:b/>
                <w:bCs/>
                <w:color w:val="000000"/>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1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（20分）</w:t>
            </w:r>
            <w:r>
              <w:rPr>
                <w:rFonts w:hint="eastAsia" w:ascii="新宋体" w:hAnsi="新宋体" w:eastAsia="新宋体" w:cs="宋体"/>
                <w:color w:val="000000"/>
                <w:kern w:val="0"/>
                <w:sz w:val="24"/>
              </w:rPr>
              <w:br w:type="textWrapping"/>
            </w:r>
            <w:r>
              <w:rPr>
                <w:rFonts w:hint="eastAsia" w:ascii="新宋体" w:hAnsi="新宋体" w:eastAsia="新宋体" w:cs="宋体"/>
                <w:color w:val="000000"/>
                <w:kern w:val="0"/>
                <w:sz w:val="24"/>
              </w:rPr>
              <w:t>项目决策</w:t>
            </w:r>
          </w:p>
        </w:tc>
        <w:tc>
          <w:tcPr>
            <w:tcW w:w="211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（10分）</w:t>
            </w:r>
            <w:r>
              <w:rPr>
                <w:rFonts w:hint="eastAsia" w:ascii="新宋体" w:hAnsi="新宋体" w:eastAsia="新宋体" w:cs="宋体"/>
                <w:color w:val="000000"/>
                <w:kern w:val="0"/>
                <w:sz w:val="24"/>
              </w:rPr>
              <w:br w:type="textWrapping"/>
            </w:r>
            <w:r>
              <w:rPr>
                <w:rFonts w:hint="eastAsia" w:ascii="新宋体" w:hAnsi="新宋体" w:eastAsia="新宋体" w:cs="宋体"/>
                <w:color w:val="000000"/>
                <w:kern w:val="0"/>
                <w:sz w:val="24"/>
              </w:rPr>
              <w:t>科学决策</w:t>
            </w: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必要性</w:t>
            </w:r>
            <w:r>
              <w:rPr>
                <w:rFonts w:hint="eastAsia" w:ascii="新宋体" w:hAnsi="新宋体" w:eastAsia="新宋体" w:cs="宋体"/>
                <w:color w:val="000000"/>
                <w:kern w:val="0"/>
                <w:sz w:val="24"/>
              </w:rPr>
              <w:br w:type="textWrapping"/>
            </w:r>
            <w:r>
              <w:rPr>
                <w:rFonts w:hint="eastAsia" w:ascii="新宋体" w:hAnsi="新宋体" w:eastAsia="新宋体" w:cs="宋体"/>
                <w:color w:val="000000"/>
                <w:kern w:val="0"/>
                <w:sz w:val="24"/>
              </w:rPr>
              <w:t>（政策依据)</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可行性</w:t>
            </w:r>
            <w:r>
              <w:rPr>
                <w:rFonts w:hint="eastAsia" w:ascii="新宋体" w:hAnsi="新宋体" w:eastAsia="新宋体" w:cs="宋体"/>
                <w:color w:val="000000"/>
                <w:kern w:val="0"/>
                <w:sz w:val="24"/>
              </w:rPr>
              <w:br w:type="textWrapping"/>
            </w:r>
            <w:r>
              <w:rPr>
                <w:rFonts w:hint="eastAsia" w:ascii="新宋体" w:hAnsi="新宋体" w:eastAsia="新宋体" w:cs="宋体"/>
                <w:color w:val="000000"/>
                <w:kern w:val="0"/>
                <w:sz w:val="24"/>
              </w:rPr>
              <w:t>（政策完善）</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211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（10）</w:t>
            </w:r>
            <w:r>
              <w:rPr>
                <w:rFonts w:hint="eastAsia" w:ascii="新宋体" w:hAnsi="新宋体" w:eastAsia="新宋体" w:cs="宋体"/>
                <w:color w:val="000000"/>
                <w:kern w:val="0"/>
                <w:sz w:val="24"/>
              </w:rPr>
              <w:br w:type="textWrapping"/>
            </w:r>
            <w:r>
              <w:rPr>
                <w:rFonts w:hint="eastAsia" w:ascii="新宋体" w:hAnsi="新宋体" w:eastAsia="新宋体" w:cs="宋体"/>
                <w:color w:val="000000"/>
                <w:kern w:val="0"/>
                <w:sz w:val="24"/>
              </w:rPr>
              <w:t xml:space="preserve">绩效目标    </w:t>
            </w: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明确性</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合理性</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1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（10分）</w:t>
            </w:r>
            <w:r>
              <w:rPr>
                <w:rFonts w:hint="eastAsia" w:ascii="新宋体" w:hAnsi="新宋体" w:eastAsia="新宋体" w:cs="宋体"/>
                <w:color w:val="000000"/>
                <w:kern w:val="0"/>
                <w:sz w:val="24"/>
              </w:rPr>
              <w:br w:type="textWrapping"/>
            </w:r>
            <w:r>
              <w:rPr>
                <w:rFonts w:hint="eastAsia" w:ascii="新宋体" w:hAnsi="新宋体" w:eastAsia="新宋体" w:cs="宋体"/>
                <w:color w:val="000000"/>
                <w:kern w:val="0"/>
                <w:sz w:val="24"/>
              </w:rPr>
              <w:t>项目管理</w:t>
            </w:r>
          </w:p>
        </w:tc>
        <w:tc>
          <w:tcPr>
            <w:tcW w:w="211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（7分）</w:t>
            </w:r>
            <w:r>
              <w:rPr>
                <w:rFonts w:hint="eastAsia" w:ascii="新宋体" w:hAnsi="新宋体" w:eastAsia="新宋体" w:cs="宋体"/>
                <w:color w:val="000000"/>
                <w:kern w:val="0"/>
                <w:sz w:val="24"/>
              </w:rPr>
              <w:br w:type="textWrapping"/>
            </w:r>
            <w:r>
              <w:rPr>
                <w:rFonts w:hint="eastAsia" w:ascii="新宋体" w:hAnsi="新宋体" w:eastAsia="新宋体" w:cs="宋体"/>
                <w:color w:val="000000"/>
                <w:kern w:val="0"/>
                <w:sz w:val="24"/>
              </w:rPr>
              <w:t>资金管理</w:t>
            </w: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资金分配</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3</w:t>
            </w: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资金使用</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4</w:t>
            </w: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2113"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（3分）</w:t>
            </w:r>
            <w:r>
              <w:rPr>
                <w:rFonts w:hint="eastAsia" w:ascii="新宋体" w:hAnsi="新宋体" w:eastAsia="新宋体" w:cs="宋体"/>
                <w:color w:val="000000"/>
                <w:kern w:val="0"/>
                <w:sz w:val="24"/>
              </w:rPr>
              <w:br w:type="textWrapping"/>
            </w:r>
            <w:r>
              <w:rPr>
                <w:rFonts w:hint="eastAsia" w:ascii="新宋体" w:hAnsi="新宋体" w:eastAsia="新宋体" w:cs="宋体"/>
                <w:color w:val="000000"/>
                <w:kern w:val="0"/>
                <w:sz w:val="24"/>
              </w:rPr>
              <w:t>项目执行</w:t>
            </w: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执行规范</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3</w:t>
            </w: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61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（特性指标70分）</w:t>
            </w:r>
            <w:r>
              <w:rPr>
                <w:rFonts w:hint="eastAsia" w:ascii="新宋体" w:hAnsi="新宋体" w:eastAsia="新宋体" w:cs="宋体"/>
                <w:color w:val="000000"/>
                <w:kern w:val="0"/>
                <w:sz w:val="24"/>
              </w:rPr>
              <w:br w:type="textWrapping"/>
            </w:r>
            <w:r>
              <w:rPr>
                <w:rFonts w:hint="eastAsia" w:ascii="新宋体" w:hAnsi="新宋体" w:eastAsia="新宋体" w:cs="宋体"/>
                <w:color w:val="000000"/>
                <w:kern w:val="0"/>
                <w:sz w:val="24"/>
              </w:rPr>
              <w:t xml:space="preserve">项目绩效  </w:t>
            </w:r>
          </w:p>
        </w:tc>
        <w:tc>
          <w:tcPr>
            <w:tcW w:w="211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（20）</w:t>
            </w:r>
            <w:r>
              <w:rPr>
                <w:rFonts w:hint="eastAsia" w:ascii="新宋体" w:hAnsi="新宋体" w:eastAsia="新宋体" w:cs="宋体"/>
                <w:color w:val="000000"/>
                <w:kern w:val="0"/>
                <w:sz w:val="24"/>
              </w:rPr>
              <w:br w:type="textWrapping"/>
            </w:r>
            <w:r>
              <w:rPr>
                <w:rFonts w:hint="eastAsia" w:ascii="新宋体" w:hAnsi="新宋体" w:eastAsia="新宋体" w:cs="宋体"/>
                <w:color w:val="000000"/>
                <w:kern w:val="0"/>
                <w:sz w:val="24"/>
              </w:rPr>
              <w:t>项目完成</w:t>
            </w: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完成数量</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 xml:space="preserve">5 </w:t>
            </w: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完成质量</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 xml:space="preserve">5 </w:t>
            </w: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完成时效</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完成成本</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211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（50分）</w:t>
            </w:r>
            <w:r>
              <w:rPr>
                <w:rFonts w:hint="eastAsia" w:ascii="新宋体" w:hAnsi="新宋体" w:eastAsia="新宋体" w:cs="宋体"/>
                <w:color w:val="000000"/>
                <w:kern w:val="0"/>
                <w:sz w:val="24"/>
              </w:rPr>
              <w:br w:type="textWrapping"/>
            </w:r>
            <w:r>
              <w:rPr>
                <w:rFonts w:hint="eastAsia" w:ascii="新宋体" w:hAnsi="新宋体" w:eastAsia="新宋体" w:cs="宋体"/>
                <w:color w:val="000000"/>
                <w:kern w:val="0"/>
                <w:sz w:val="24"/>
              </w:rPr>
              <w:t>项目效益</w:t>
            </w: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经济效益（可选项）</w:t>
            </w:r>
          </w:p>
        </w:tc>
        <w:tc>
          <w:tcPr>
            <w:tcW w:w="13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40</w:t>
            </w: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新宋体" w:hAnsi="新宋体" w:eastAsia="新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社会效益（可选项）</w:t>
            </w:r>
          </w:p>
        </w:tc>
        <w:tc>
          <w:tcPr>
            <w:tcW w:w="13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left"/>
              <w:rPr>
                <w:rFonts w:ascii="新宋体" w:hAnsi="新宋体" w:eastAsia="新宋体" w:cs="宋体"/>
                <w:color w:val="000000"/>
                <w:kern w:val="0"/>
                <w:sz w:val="24"/>
              </w:rPr>
            </w:pPr>
            <w:r>
              <w:rPr>
                <w:rFonts w:hint="eastAsia" w:ascii="新宋体" w:hAnsi="新宋体" w:eastAsia="新宋体" w:cs="宋体"/>
                <w:color w:val="000000"/>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生态效益（可选项）</w:t>
            </w:r>
          </w:p>
        </w:tc>
        <w:tc>
          <w:tcPr>
            <w:tcW w:w="13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left"/>
              <w:rPr>
                <w:rFonts w:ascii="新宋体" w:hAnsi="新宋体" w:eastAsia="新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可持续效益（可选项）</w:t>
            </w:r>
          </w:p>
        </w:tc>
        <w:tc>
          <w:tcPr>
            <w:tcW w:w="13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left"/>
              <w:rPr>
                <w:rFonts w:ascii="新宋体" w:hAnsi="新宋体" w:eastAsia="新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公平效率（可选项）</w:t>
            </w:r>
          </w:p>
        </w:tc>
        <w:tc>
          <w:tcPr>
            <w:tcW w:w="13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left"/>
              <w:rPr>
                <w:rFonts w:ascii="新宋体" w:hAnsi="新宋体" w:eastAsia="新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使用效率（可选项）</w:t>
            </w:r>
          </w:p>
        </w:tc>
        <w:tc>
          <w:tcPr>
            <w:tcW w:w="13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left"/>
              <w:rPr>
                <w:rFonts w:ascii="新宋体" w:hAnsi="新宋体" w:eastAsia="新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宋体"/>
                <w:color w:val="000000"/>
                <w:kern w:val="0"/>
                <w:sz w:val="24"/>
              </w:rPr>
            </w:pPr>
          </w:p>
        </w:tc>
        <w:tc>
          <w:tcPr>
            <w:tcW w:w="35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 xml:space="preserve">服务对象满意度    </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10</w:t>
            </w:r>
          </w:p>
        </w:tc>
        <w:tc>
          <w:tcPr>
            <w:tcW w:w="131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新宋体" w:hAnsi="新宋体" w:eastAsia="新宋体" w:cs="宋体"/>
                <w:color w:val="000000"/>
                <w:kern w:val="0"/>
                <w:sz w:val="24"/>
              </w:rPr>
            </w:pPr>
            <w:r>
              <w:rPr>
                <w:rFonts w:hint="eastAsia" w:ascii="新宋体" w:hAnsi="新宋体" w:eastAsia="新宋体" w:cs="宋体"/>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新宋体" w:hAnsi="新宋体" w:eastAsia="新宋体" w:cs="宋体"/>
                <w:color w:val="000000"/>
                <w:kern w:val="0"/>
                <w:sz w:val="24"/>
              </w:rPr>
            </w:pPr>
            <w:r>
              <w:rPr>
                <w:rFonts w:hint="eastAsia" w:ascii="新宋体" w:hAnsi="新宋体" w:eastAsia="新宋体" w:cs="宋体"/>
                <w:color w:val="000000"/>
                <w:kern w:val="0"/>
                <w:sz w:val="24"/>
              </w:rPr>
              <w:t>总分</w:t>
            </w:r>
          </w:p>
        </w:tc>
        <w:tc>
          <w:tcPr>
            <w:tcW w:w="827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新宋体" w:hAnsi="新宋体" w:eastAsia="新宋体" w:cs="宋体"/>
                <w:color w:val="000000"/>
                <w:kern w:val="0"/>
                <w:sz w:val="24"/>
              </w:rPr>
            </w:pPr>
          </w:p>
        </w:tc>
      </w:tr>
    </w:tbl>
    <w:p>
      <w:pPr>
        <w:spacing w:line="360" w:lineRule="auto"/>
        <w:rPr>
          <w:rFonts w:ascii="新宋体" w:hAnsi="新宋体" w:eastAsia="新宋体"/>
          <w:color w:val="000000"/>
          <w:sz w:val="24"/>
        </w:rPr>
      </w:pPr>
    </w:p>
    <w:p>
      <w:pPr>
        <w:spacing w:line="360" w:lineRule="auto"/>
        <w:ind w:firstLine="482" w:firstLineChars="200"/>
        <w:rPr>
          <w:rFonts w:ascii="新宋体" w:hAnsi="新宋体" w:eastAsia="新宋体"/>
          <w:b/>
          <w:color w:val="000000"/>
          <w:sz w:val="24"/>
        </w:rPr>
      </w:pPr>
    </w:p>
    <w:p>
      <w:pPr>
        <w:autoSpaceDE w:val="0"/>
        <w:autoSpaceDN w:val="0"/>
        <w:adjustRightInd w:val="0"/>
        <w:spacing w:line="360" w:lineRule="auto"/>
        <w:ind w:firstLine="480" w:firstLineChars="200"/>
        <w:jc w:val="left"/>
        <w:rPr>
          <w:rFonts w:ascii="新宋体" w:hAnsi="新宋体" w:eastAsia="新宋体"/>
          <w:color w:val="000000"/>
          <w:sz w:val="24"/>
        </w:rPr>
      </w:pPr>
      <w:r>
        <w:rPr>
          <w:rFonts w:hint="eastAsia" w:ascii="新宋体" w:hAnsi="新宋体" w:eastAsia="新宋体"/>
          <w:color w:val="000000"/>
          <w:sz w:val="24"/>
        </w:rPr>
        <w:t>十一、名词解释</w:t>
      </w:r>
    </w:p>
    <w:p>
      <w:pPr>
        <w:pStyle w:val="15"/>
        <w:spacing w:line="360" w:lineRule="auto"/>
        <w:ind w:firstLine="480" w:firstLineChars="200"/>
        <w:rPr>
          <w:rFonts w:ascii="新宋体" w:hAnsi="新宋体" w:eastAsia="新宋体"/>
        </w:rPr>
      </w:pPr>
      <w:r>
        <w:rPr>
          <w:rFonts w:hint="eastAsia" w:ascii="新宋体" w:hAnsi="新宋体" w:eastAsia="新宋体"/>
        </w:rPr>
        <w:t>1.财政拨款收入：指单位从同级财政部门取得的财政预算资金。</w:t>
      </w:r>
    </w:p>
    <w:p>
      <w:pPr>
        <w:pStyle w:val="15"/>
        <w:spacing w:line="360" w:lineRule="auto"/>
        <w:ind w:firstLine="480" w:firstLineChars="200"/>
        <w:rPr>
          <w:rFonts w:ascii="新宋体" w:hAnsi="新宋体" w:eastAsia="新宋体"/>
        </w:rPr>
      </w:pPr>
      <w:r>
        <w:rPr>
          <w:rFonts w:hint="eastAsia" w:ascii="新宋体" w:hAnsi="新宋体" w:eastAsia="新宋体"/>
        </w:rPr>
        <w:t>2.事业收入：指事业单位开展专业业务活动及辅助活动取得的收入。如…（二级预算单位事业收入情况）等。</w:t>
      </w:r>
    </w:p>
    <w:p>
      <w:pPr>
        <w:pStyle w:val="15"/>
        <w:spacing w:line="360" w:lineRule="auto"/>
        <w:ind w:firstLine="480" w:firstLineChars="200"/>
        <w:rPr>
          <w:rFonts w:ascii="新宋体" w:hAnsi="新宋体" w:eastAsia="新宋体"/>
        </w:rPr>
      </w:pPr>
      <w:r>
        <w:rPr>
          <w:rFonts w:hint="eastAsia" w:ascii="新宋体" w:hAnsi="新宋体" w:eastAsia="新宋体"/>
        </w:rPr>
        <w:t>3.经营收入：指事业单位在专业业务活动及其辅助活动之外开展非独立核算经营活动取得的收入。如…（二级预算单位经营收入情况）等。</w:t>
      </w:r>
    </w:p>
    <w:p>
      <w:pPr>
        <w:pStyle w:val="15"/>
        <w:spacing w:line="360" w:lineRule="auto"/>
        <w:ind w:firstLine="480" w:firstLineChars="200"/>
        <w:rPr>
          <w:rFonts w:ascii="新宋体" w:hAnsi="新宋体" w:eastAsia="新宋体"/>
        </w:rPr>
      </w:pPr>
      <w:r>
        <w:rPr>
          <w:rFonts w:hint="eastAsia" w:ascii="新宋体" w:hAnsi="新宋体" w:eastAsia="新宋体"/>
        </w:rPr>
        <w:t xml:space="preserve">4.其他收入：指单位取得的除上述收入以外的各项收入。主要是…（收入类型）等。 </w:t>
      </w:r>
    </w:p>
    <w:p>
      <w:pPr>
        <w:pStyle w:val="15"/>
        <w:spacing w:line="360" w:lineRule="auto"/>
        <w:ind w:firstLine="480" w:firstLineChars="200"/>
        <w:rPr>
          <w:rFonts w:ascii="新宋体" w:hAnsi="新宋体" w:eastAsia="新宋体"/>
        </w:rPr>
      </w:pPr>
      <w:r>
        <w:rPr>
          <w:rFonts w:hint="eastAsia" w:ascii="新宋体" w:hAnsi="新宋体" w:eastAsia="新宋体"/>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15"/>
        <w:spacing w:line="360" w:lineRule="auto"/>
        <w:ind w:firstLine="480" w:firstLineChars="200"/>
        <w:rPr>
          <w:rFonts w:ascii="新宋体" w:hAnsi="新宋体" w:eastAsia="新宋体"/>
        </w:rPr>
      </w:pPr>
      <w:r>
        <w:rPr>
          <w:rFonts w:hint="eastAsia" w:ascii="新宋体" w:hAnsi="新宋体" w:eastAsia="新宋体"/>
        </w:rPr>
        <w:t xml:space="preserve">6.年初结转和结余：指以前年度尚未完成、结转到本年按有关规定继续使用的资金。 </w:t>
      </w:r>
    </w:p>
    <w:p>
      <w:pPr>
        <w:pStyle w:val="15"/>
        <w:spacing w:line="360" w:lineRule="auto"/>
        <w:ind w:firstLine="480" w:firstLineChars="200"/>
        <w:rPr>
          <w:rFonts w:ascii="新宋体" w:hAnsi="新宋体" w:eastAsia="新宋体"/>
        </w:rPr>
      </w:pPr>
      <w:r>
        <w:rPr>
          <w:rFonts w:hint="eastAsia" w:ascii="新宋体" w:hAnsi="新宋体" w:eastAsia="新宋体"/>
        </w:rPr>
        <w:t>7.结余分配：指事业单位按照事业单位会计制度的规定从非财政补助结余中分配的事业基金和职工福利基金等。</w:t>
      </w:r>
    </w:p>
    <w:p>
      <w:pPr>
        <w:pStyle w:val="15"/>
        <w:spacing w:line="360" w:lineRule="auto"/>
        <w:ind w:firstLine="480" w:firstLineChars="200"/>
        <w:rPr>
          <w:rFonts w:ascii="新宋体" w:hAnsi="新宋体" w:eastAsia="新宋体"/>
        </w:rPr>
      </w:pPr>
      <w:r>
        <w:rPr>
          <w:rFonts w:hint="eastAsia" w:ascii="新宋体" w:hAnsi="新宋体" w:eastAsia="新宋体"/>
        </w:rPr>
        <w:t>8、年末结转和结余：指单位按有关规定结转到下年或以后年度继续使用的资金。</w:t>
      </w:r>
    </w:p>
    <w:p>
      <w:pPr>
        <w:spacing w:line="360" w:lineRule="auto"/>
        <w:ind w:firstLine="480" w:firstLineChars="200"/>
        <w:rPr>
          <w:rFonts w:ascii="新宋体" w:hAnsi="新宋体" w:eastAsia="新宋体" w:cs="仿宋"/>
          <w:color w:val="000000"/>
          <w:kern w:val="0"/>
          <w:sz w:val="24"/>
        </w:rPr>
      </w:pPr>
      <w:r>
        <w:rPr>
          <w:rFonts w:hint="eastAsia" w:ascii="新宋体" w:hAnsi="新宋体" w:eastAsia="新宋体" w:cs="仿宋"/>
          <w:bCs/>
          <w:color w:val="000000"/>
          <w:kern w:val="0"/>
          <w:sz w:val="24"/>
        </w:rPr>
        <w:t>9.一般公共服务支出（类）政府办公厅（室）及相关机构事务（款）行政运行（项）:</w:t>
      </w:r>
      <w:r>
        <w:rPr>
          <w:rFonts w:ascii="新宋体" w:hAnsi="新宋体" w:eastAsia="新宋体" w:cs="仿宋"/>
          <w:bCs/>
          <w:color w:val="000000"/>
          <w:kern w:val="0"/>
          <w:sz w:val="24"/>
        </w:rPr>
        <w:t xml:space="preserve"> </w:t>
      </w:r>
      <w:r>
        <w:rPr>
          <w:rFonts w:ascii="新宋体" w:hAnsi="新宋体" w:eastAsia="新宋体" w:cs="仿宋"/>
          <w:color w:val="000000"/>
          <w:kern w:val="0"/>
          <w:sz w:val="24"/>
        </w:rPr>
        <w:t>指行政单位</w:t>
      </w:r>
      <w:r>
        <w:rPr>
          <w:rFonts w:hint="eastAsia" w:ascii="新宋体" w:hAnsi="新宋体" w:eastAsia="新宋体" w:cs="仿宋"/>
          <w:color w:val="000000"/>
          <w:kern w:val="0"/>
          <w:sz w:val="24"/>
        </w:rPr>
        <w:t>基本支出</w:t>
      </w:r>
      <w:r>
        <w:rPr>
          <w:rFonts w:ascii="新宋体" w:hAnsi="新宋体" w:eastAsia="新宋体" w:cs="仿宋"/>
          <w:color w:val="000000"/>
          <w:kern w:val="0"/>
          <w:sz w:val="24"/>
        </w:rPr>
        <w:t>；</w:t>
      </w:r>
    </w:p>
    <w:p>
      <w:pPr>
        <w:spacing w:line="360" w:lineRule="auto"/>
        <w:ind w:firstLine="480" w:firstLineChars="200"/>
        <w:rPr>
          <w:rFonts w:ascii="新宋体" w:hAnsi="新宋体" w:eastAsia="新宋体" w:cs="仿宋"/>
          <w:color w:val="000000"/>
          <w:kern w:val="0"/>
          <w:sz w:val="24"/>
        </w:rPr>
      </w:pPr>
      <w:r>
        <w:rPr>
          <w:rFonts w:hint="eastAsia" w:ascii="新宋体" w:hAnsi="新宋体" w:eastAsia="新宋体" w:cs="仿宋"/>
          <w:bCs/>
          <w:color w:val="000000"/>
          <w:kern w:val="0"/>
          <w:sz w:val="24"/>
        </w:rPr>
        <w:t>一般公共服务支出（类）政府办公厅（室）及相关机构事务（款）一般行政管理事务（项）:</w:t>
      </w:r>
      <w:r>
        <w:rPr>
          <w:rFonts w:hint="eastAsia" w:ascii="新宋体" w:hAnsi="新宋体" w:eastAsia="新宋体" w:cs="仿宋"/>
          <w:color w:val="000000"/>
          <w:kern w:val="0"/>
          <w:sz w:val="24"/>
        </w:rPr>
        <w:t>指行政单位项目支出。</w:t>
      </w:r>
    </w:p>
    <w:p>
      <w:pPr>
        <w:spacing w:line="360" w:lineRule="auto"/>
        <w:ind w:firstLine="480" w:firstLineChars="200"/>
        <w:rPr>
          <w:rFonts w:ascii="新宋体" w:hAnsi="新宋体" w:eastAsia="新宋体" w:cs="仿宋"/>
          <w:color w:val="000000"/>
          <w:kern w:val="0"/>
          <w:sz w:val="24"/>
        </w:rPr>
      </w:pPr>
      <w:r>
        <w:rPr>
          <w:rFonts w:hint="eastAsia" w:ascii="新宋体" w:hAnsi="新宋体" w:eastAsia="新宋体" w:cs="仿宋"/>
          <w:bCs/>
          <w:color w:val="000000"/>
          <w:kern w:val="0"/>
          <w:sz w:val="24"/>
        </w:rPr>
        <w:t>一般公共服务支出（类）政府办公厅（室）及相关机构事务（款）事业运行（项）:</w:t>
      </w:r>
      <w:r>
        <w:rPr>
          <w:rFonts w:hint="eastAsia" w:ascii="新宋体" w:hAnsi="新宋体" w:eastAsia="新宋体" w:cs="仿宋"/>
          <w:color w:val="000000"/>
          <w:kern w:val="0"/>
          <w:sz w:val="24"/>
        </w:rPr>
        <w:t>指</w:t>
      </w:r>
      <w:r>
        <w:rPr>
          <w:rFonts w:ascii="新宋体" w:hAnsi="新宋体" w:eastAsia="新宋体" w:cs="仿宋"/>
          <w:color w:val="000000"/>
          <w:kern w:val="0"/>
          <w:sz w:val="24"/>
        </w:rPr>
        <w:t>事业单位基本支出。</w:t>
      </w:r>
      <w:r>
        <w:rPr>
          <w:rFonts w:hint="eastAsia" w:ascii="新宋体" w:hAnsi="新宋体" w:eastAsia="新宋体" w:cs="仿宋"/>
          <w:color w:val="000000"/>
          <w:kern w:val="0"/>
          <w:sz w:val="24"/>
        </w:rPr>
        <w:t>。</w:t>
      </w:r>
    </w:p>
    <w:p>
      <w:pPr>
        <w:spacing w:line="360" w:lineRule="auto"/>
        <w:ind w:firstLine="480" w:firstLineChars="200"/>
        <w:rPr>
          <w:rFonts w:ascii="新宋体" w:hAnsi="新宋体" w:eastAsia="新宋体" w:cs="仿宋_GB2312"/>
          <w:sz w:val="24"/>
        </w:rPr>
      </w:pPr>
      <w:r>
        <w:rPr>
          <w:rFonts w:hint="eastAsia" w:ascii="新宋体" w:hAnsi="新宋体" w:eastAsia="新宋体" w:cs="仿宋"/>
          <w:bCs/>
          <w:color w:val="000000"/>
          <w:kern w:val="0"/>
          <w:sz w:val="24"/>
        </w:rPr>
        <w:t>一般公共服务支出（类）政府办公厅（室）及相关机构事务（款）其他政</w:t>
      </w:r>
      <w:r>
        <w:rPr>
          <w:rStyle w:val="10"/>
          <w:rFonts w:hint="eastAsia" w:ascii="新宋体" w:hAnsi="新宋体" w:eastAsia="新宋体" w:cs="仿宋_GB2312"/>
          <w:b w:val="0"/>
          <w:sz w:val="24"/>
        </w:rPr>
        <w:t>府办公厅（室）及相关机构事务支出（项）:</w:t>
      </w:r>
      <w:r>
        <w:rPr>
          <w:rStyle w:val="18"/>
          <w:rFonts w:ascii="新宋体" w:hAnsi="新宋体" w:eastAsia="新宋体"/>
          <w:b w:val="0"/>
          <w:sz w:val="24"/>
          <w:szCs w:val="24"/>
        </w:rPr>
        <w:t xml:space="preserve"> </w:t>
      </w:r>
      <w:r>
        <w:rPr>
          <w:rFonts w:ascii="新宋体" w:hAnsi="新宋体" w:eastAsia="新宋体" w:cs="仿宋_GB2312"/>
          <w:sz w:val="24"/>
        </w:rPr>
        <w:t>指除上述项目以外的其他政府办公厅（室）及相关机构事务支出。</w:t>
      </w:r>
    </w:p>
    <w:p>
      <w:pPr>
        <w:spacing w:line="360" w:lineRule="auto"/>
        <w:ind w:firstLine="480" w:firstLineChars="200"/>
        <w:rPr>
          <w:rFonts w:ascii="新宋体" w:hAnsi="新宋体" w:eastAsia="新宋体" w:cs="仿宋_GB2312"/>
          <w:sz w:val="24"/>
        </w:rPr>
      </w:pPr>
      <w:r>
        <w:rPr>
          <w:rStyle w:val="10"/>
          <w:rFonts w:hint="eastAsia" w:ascii="新宋体" w:hAnsi="新宋体" w:eastAsia="新宋体" w:cs="仿宋_GB2312"/>
          <w:b w:val="0"/>
          <w:sz w:val="24"/>
        </w:rPr>
        <w:t>10.教育支出（类）进修及培训（款）培训支出（项）:</w:t>
      </w:r>
      <w:r>
        <w:rPr>
          <w:rFonts w:hint="eastAsia" w:ascii="新宋体" w:hAnsi="新宋体" w:eastAsia="新宋体" w:cs="仿宋_GB2312"/>
          <w:sz w:val="24"/>
        </w:rPr>
        <w:t>教育及培训支出。</w:t>
      </w:r>
    </w:p>
    <w:p>
      <w:pPr>
        <w:spacing w:line="360" w:lineRule="auto"/>
        <w:ind w:firstLine="480" w:firstLineChars="200"/>
        <w:rPr>
          <w:rFonts w:ascii="新宋体" w:hAnsi="新宋体" w:eastAsia="新宋体" w:cs="仿宋_GB2312"/>
          <w:sz w:val="24"/>
        </w:rPr>
      </w:pPr>
      <w:r>
        <w:rPr>
          <w:rStyle w:val="10"/>
          <w:rFonts w:hint="eastAsia" w:ascii="新宋体" w:hAnsi="新宋体" w:eastAsia="新宋体" w:cs="仿宋_GB2312"/>
          <w:b w:val="0"/>
          <w:sz w:val="24"/>
        </w:rPr>
        <w:t>11.社会保障和就业支出（类）行政事业单位离退休（款）  机关事业单位基本养老保险缴费支出（项）:</w:t>
      </w:r>
      <w:r>
        <w:rPr>
          <w:rStyle w:val="18"/>
          <w:rFonts w:ascii="新宋体" w:hAnsi="新宋体" w:eastAsia="新宋体"/>
          <w:b w:val="0"/>
          <w:sz w:val="24"/>
          <w:szCs w:val="24"/>
        </w:rPr>
        <w:t xml:space="preserve"> </w:t>
      </w:r>
      <w:r>
        <w:rPr>
          <w:rFonts w:ascii="新宋体" w:hAnsi="新宋体" w:eastAsia="新宋体" w:cs="仿宋_GB2312"/>
          <w:sz w:val="24"/>
        </w:rPr>
        <w:t>机关事业单位实施养老保险制度由单位缴纳的基本养老保险费支出</w:t>
      </w:r>
      <w:r>
        <w:rPr>
          <w:rFonts w:hint="eastAsia" w:ascii="新宋体" w:hAnsi="新宋体" w:eastAsia="新宋体" w:cs="仿宋_GB2312"/>
          <w:sz w:val="24"/>
        </w:rPr>
        <w:t>。</w:t>
      </w:r>
    </w:p>
    <w:p>
      <w:pPr>
        <w:spacing w:line="360" w:lineRule="auto"/>
        <w:ind w:firstLine="480" w:firstLineChars="200"/>
        <w:rPr>
          <w:rFonts w:ascii="新宋体" w:hAnsi="新宋体" w:eastAsia="新宋体" w:cs="仿宋_GB2312"/>
          <w:sz w:val="24"/>
        </w:rPr>
      </w:pPr>
      <w:r>
        <w:rPr>
          <w:rStyle w:val="10"/>
          <w:rFonts w:hint="eastAsia" w:ascii="新宋体" w:hAnsi="新宋体" w:eastAsia="新宋体" w:cs="仿宋_GB2312"/>
          <w:b w:val="0"/>
          <w:sz w:val="24"/>
        </w:rPr>
        <w:t>12.医疗卫生与计划生育支出（类）医疗保障（款）行政单位医疗（项）:</w:t>
      </w:r>
      <w:r>
        <w:rPr>
          <w:rFonts w:hint="eastAsia" w:ascii="新宋体" w:hAnsi="新宋体" w:eastAsia="新宋体" w:cs="仿宋_GB2312"/>
          <w:sz w:val="24"/>
        </w:rPr>
        <w:t>指</w:t>
      </w:r>
      <w:r>
        <w:rPr>
          <w:rFonts w:ascii="新宋体" w:hAnsi="新宋体" w:eastAsia="新宋体" w:cs="仿宋_GB2312"/>
          <w:sz w:val="24"/>
        </w:rPr>
        <w:t>行政单位基本医疗保险缴费经费</w:t>
      </w:r>
      <w:r>
        <w:rPr>
          <w:rFonts w:hint="eastAsia" w:ascii="新宋体" w:hAnsi="新宋体" w:eastAsia="新宋体" w:cs="仿宋_GB2312"/>
          <w:sz w:val="24"/>
        </w:rPr>
        <w:t>。</w:t>
      </w:r>
    </w:p>
    <w:p>
      <w:pPr>
        <w:spacing w:line="360" w:lineRule="auto"/>
        <w:ind w:firstLine="480" w:firstLineChars="200"/>
        <w:rPr>
          <w:rFonts w:ascii="新宋体" w:hAnsi="新宋体" w:eastAsia="新宋体" w:cs="仿宋_GB2312"/>
          <w:sz w:val="24"/>
        </w:rPr>
      </w:pPr>
      <w:r>
        <w:rPr>
          <w:rStyle w:val="10"/>
          <w:rFonts w:hint="eastAsia" w:ascii="新宋体" w:hAnsi="新宋体" w:eastAsia="新宋体" w:cs="仿宋_GB2312"/>
          <w:b w:val="0"/>
          <w:sz w:val="24"/>
        </w:rPr>
        <w:t>13.</w:t>
      </w:r>
      <w:r>
        <w:rPr>
          <w:rFonts w:hint="eastAsia" w:ascii="新宋体" w:hAnsi="新宋体" w:eastAsia="新宋体"/>
          <w:sz w:val="24"/>
        </w:rPr>
        <w:t xml:space="preserve"> </w:t>
      </w:r>
      <w:r>
        <w:rPr>
          <w:rStyle w:val="10"/>
          <w:rFonts w:hint="eastAsia" w:ascii="新宋体" w:hAnsi="新宋体" w:eastAsia="新宋体" w:cs="仿宋_GB2312"/>
          <w:b w:val="0"/>
          <w:sz w:val="24"/>
        </w:rPr>
        <w:t>住房保障支出（类）住房改革支出（款）住房公积金（项）:</w:t>
      </w:r>
      <w:r>
        <w:rPr>
          <w:rStyle w:val="18"/>
          <w:rFonts w:ascii="新宋体" w:hAnsi="新宋体" w:eastAsia="新宋体"/>
          <w:b w:val="0"/>
          <w:sz w:val="24"/>
          <w:szCs w:val="24"/>
        </w:rPr>
        <w:t xml:space="preserve"> </w:t>
      </w:r>
      <w:r>
        <w:rPr>
          <w:rFonts w:hint="eastAsia" w:ascii="新宋体" w:hAnsi="新宋体" w:eastAsia="新宋体" w:cs="仿宋_GB2312"/>
          <w:sz w:val="24"/>
        </w:rPr>
        <w:t>指</w:t>
      </w:r>
      <w:r>
        <w:rPr>
          <w:rFonts w:ascii="新宋体" w:hAnsi="新宋体" w:eastAsia="新宋体" w:cs="仿宋_GB2312"/>
          <w:sz w:val="24"/>
        </w:rPr>
        <w:t>行政事业单位按人力资源和社会保障部、财政部规定的基本工资和津贴补贴以及规定比例为职工缴纳的住房公积金</w:t>
      </w:r>
      <w:r>
        <w:rPr>
          <w:rFonts w:hint="eastAsia" w:ascii="新宋体" w:hAnsi="新宋体" w:eastAsia="新宋体" w:cs="仿宋_GB2312"/>
          <w:sz w:val="24"/>
        </w:rPr>
        <w:t>。</w:t>
      </w:r>
    </w:p>
    <w:p>
      <w:pPr>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14.结余分配：指事业单位按规定提取的职工福利基金、事业基金和缴纳的所得税，以及建设单位按规定应交回的基本建设竣工项目结余资金。</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15.基本支出：指为保障机构正常运转、完成日常工作任务而发生的人员支出和公用支出。</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 xml:space="preserve">16.项目支出：指在基本支出之外为完成特定行政任务和事业发展目标所发生的支出。 </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17.经营支出：指事业单位在专业业务活动及其辅助活动之外开展非独立核算经营活动发生的支出。</w:t>
      </w:r>
    </w:p>
    <w:p>
      <w:pPr>
        <w:pStyle w:val="15"/>
        <w:spacing w:line="360" w:lineRule="auto"/>
        <w:ind w:firstLine="480" w:firstLineChars="200"/>
        <w:rPr>
          <w:rFonts w:ascii="新宋体" w:hAnsi="新宋体" w:eastAsia="新宋体"/>
        </w:rPr>
      </w:pPr>
      <w:r>
        <w:rPr>
          <w:rFonts w:hint="eastAsia" w:ascii="新宋体" w:hAnsi="新宋体" w:eastAsia="新宋体"/>
        </w:rPr>
        <w:t>18.“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5"/>
        <w:spacing w:line="360" w:lineRule="auto"/>
        <w:ind w:firstLine="480" w:firstLineChars="200"/>
        <w:rPr>
          <w:rFonts w:ascii="新宋体" w:hAnsi="新宋体" w:eastAsia="新宋体"/>
        </w:rPr>
      </w:pPr>
      <w:r>
        <w:rPr>
          <w:rFonts w:hint="eastAsia" w:ascii="新宋体" w:hAnsi="新宋体" w:eastAsia="新宋体"/>
        </w:rPr>
        <w:t>19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5</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3D9B"/>
    <w:rsid w:val="0008472D"/>
    <w:rsid w:val="000D127A"/>
    <w:rsid w:val="001207CA"/>
    <w:rsid w:val="001552A2"/>
    <w:rsid w:val="00170621"/>
    <w:rsid w:val="00233799"/>
    <w:rsid w:val="00235A01"/>
    <w:rsid w:val="00273B81"/>
    <w:rsid w:val="00282046"/>
    <w:rsid w:val="002A0AC8"/>
    <w:rsid w:val="002A43AC"/>
    <w:rsid w:val="00316CD1"/>
    <w:rsid w:val="003410AC"/>
    <w:rsid w:val="00371DDE"/>
    <w:rsid w:val="003A4802"/>
    <w:rsid w:val="003B1380"/>
    <w:rsid w:val="003C4835"/>
    <w:rsid w:val="00421A8E"/>
    <w:rsid w:val="004515F5"/>
    <w:rsid w:val="004710F4"/>
    <w:rsid w:val="004B35DA"/>
    <w:rsid w:val="004C48AB"/>
    <w:rsid w:val="004D1773"/>
    <w:rsid w:val="00500DB5"/>
    <w:rsid w:val="00531BB6"/>
    <w:rsid w:val="00543617"/>
    <w:rsid w:val="00567804"/>
    <w:rsid w:val="00597687"/>
    <w:rsid w:val="005D2A95"/>
    <w:rsid w:val="00646A14"/>
    <w:rsid w:val="006B1067"/>
    <w:rsid w:val="00743CC3"/>
    <w:rsid w:val="00757D52"/>
    <w:rsid w:val="00773102"/>
    <w:rsid w:val="00777376"/>
    <w:rsid w:val="007838E0"/>
    <w:rsid w:val="007A4FF3"/>
    <w:rsid w:val="0080211C"/>
    <w:rsid w:val="008229ED"/>
    <w:rsid w:val="0087054D"/>
    <w:rsid w:val="00874A20"/>
    <w:rsid w:val="00887275"/>
    <w:rsid w:val="008D03EA"/>
    <w:rsid w:val="008E45E4"/>
    <w:rsid w:val="00904E85"/>
    <w:rsid w:val="00914DEB"/>
    <w:rsid w:val="00945091"/>
    <w:rsid w:val="0099069A"/>
    <w:rsid w:val="009A3D9B"/>
    <w:rsid w:val="009C4A14"/>
    <w:rsid w:val="00A869B7"/>
    <w:rsid w:val="00AE5CBC"/>
    <w:rsid w:val="00AE71E0"/>
    <w:rsid w:val="00B21103"/>
    <w:rsid w:val="00B30582"/>
    <w:rsid w:val="00BA697C"/>
    <w:rsid w:val="00BD0968"/>
    <w:rsid w:val="00BD6419"/>
    <w:rsid w:val="00BE29F2"/>
    <w:rsid w:val="00C7412A"/>
    <w:rsid w:val="00C74A2E"/>
    <w:rsid w:val="00C964BB"/>
    <w:rsid w:val="00CF6D85"/>
    <w:rsid w:val="00D02E26"/>
    <w:rsid w:val="00D2643E"/>
    <w:rsid w:val="00D435D0"/>
    <w:rsid w:val="00D70989"/>
    <w:rsid w:val="00D731BA"/>
    <w:rsid w:val="00D87E89"/>
    <w:rsid w:val="00D92F8F"/>
    <w:rsid w:val="00D93106"/>
    <w:rsid w:val="00D94974"/>
    <w:rsid w:val="00DD6495"/>
    <w:rsid w:val="00DF390E"/>
    <w:rsid w:val="00E93A0F"/>
    <w:rsid w:val="00EB5A6D"/>
    <w:rsid w:val="00ED11F0"/>
    <w:rsid w:val="00F0149E"/>
    <w:rsid w:val="00F1086B"/>
    <w:rsid w:val="00F51779"/>
    <w:rsid w:val="00F8547B"/>
    <w:rsid w:val="00FE17D8"/>
    <w:rsid w:val="58BB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widowControl/>
      <w:spacing w:before="100" w:beforeAutospacing="1" w:after="100" w:afterAutospacing="1"/>
      <w:jc w:val="left"/>
      <w:outlineLvl w:val="0"/>
    </w:pPr>
    <w:rPr>
      <w:rFonts w:ascii="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4"/>
    <w:uiPriority w:val="0"/>
    <w:pPr>
      <w:spacing w:beforeLines="30"/>
    </w:pPr>
    <w:rPr>
      <w:rFonts w:ascii="仿宋_GB2312" w:eastAsia="仿宋_GB2312"/>
      <w:kern w:val="0"/>
      <w:sz w:val="30"/>
    </w:rPr>
  </w:style>
  <w:style w:type="paragraph" w:styleId="4">
    <w:name w:val="Balloon Text"/>
    <w:basedOn w:val="1"/>
    <w:link w:val="16"/>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rFonts w:ascii="Calibri" w:hAnsi="Calibri"/>
      <w:kern w:val="0"/>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qFormat/>
    <w:uiPriority w:val="0"/>
    <w:rPr>
      <w:b/>
      <w:bCs/>
    </w:rPr>
  </w:style>
  <w:style w:type="character" w:styleId="11">
    <w:name w:val="Emphasis"/>
    <w:basedOn w:val="9"/>
    <w:qFormat/>
    <w:uiPriority w:val="20"/>
  </w:style>
  <w:style w:type="character" w:customStyle="1" w:styleId="12">
    <w:name w:val="页眉 Char"/>
    <w:basedOn w:val="9"/>
    <w:link w:val="6"/>
    <w:semiHidden/>
    <w:qFormat/>
    <w:uiPriority w:val="99"/>
    <w:rPr>
      <w:rFonts w:ascii="Calibri" w:hAnsi="Calibri" w:eastAsia="宋体" w:cs="Times New Roman"/>
      <w:kern w:val="0"/>
      <w:sz w:val="18"/>
      <w:szCs w:val="18"/>
    </w:rPr>
  </w:style>
  <w:style w:type="character" w:customStyle="1" w:styleId="13">
    <w:name w:val="页脚 Char"/>
    <w:basedOn w:val="9"/>
    <w:link w:val="5"/>
    <w:uiPriority w:val="99"/>
    <w:rPr>
      <w:rFonts w:ascii="Calibri" w:hAnsi="Calibri" w:eastAsia="宋体" w:cs="Times New Roman"/>
      <w:kern w:val="0"/>
      <w:sz w:val="18"/>
      <w:szCs w:val="18"/>
    </w:rPr>
  </w:style>
  <w:style w:type="character" w:customStyle="1" w:styleId="14">
    <w:name w:val="正文文本 Char"/>
    <w:basedOn w:val="9"/>
    <w:link w:val="3"/>
    <w:uiPriority w:val="0"/>
    <w:rPr>
      <w:rFonts w:ascii="仿宋_GB2312" w:hAnsi="Times New Roman" w:eastAsia="仿宋_GB2312" w:cs="Times New Roman"/>
      <w:kern w:val="0"/>
      <w:sz w:val="30"/>
      <w:szCs w:val="24"/>
    </w:rPr>
  </w:style>
  <w:style w:type="paragraph" w:customStyle="1" w:styleId="15">
    <w:name w:val="Defaul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6">
    <w:name w:val="批注框文本 Char"/>
    <w:basedOn w:val="9"/>
    <w:link w:val="4"/>
    <w:semiHidden/>
    <w:uiPriority w:val="99"/>
    <w:rPr>
      <w:rFonts w:ascii="Times New Roman" w:hAnsi="Times New Roman"/>
      <w:kern w:val="2"/>
      <w:sz w:val="18"/>
      <w:szCs w:val="18"/>
    </w:rPr>
  </w:style>
  <w:style w:type="paragraph" w:styleId="17">
    <w:name w:val="List Paragraph"/>
    <w:basedOn w:val="1"/>
    <w:qFormat/>
    <w:uiPriority w:val="34"/>
    <w:pPr>
      <w:ind w:firstLine="420" w:firstLineChars="200"/>
    </w:pPr>
  </w:style>
  <w:style w:type="character" w:customStyle="1" w:styleId="18">
    <w:name w:val="标题 1 Char"/>
    <w:basedOn w:val="9"/>
    <w:link w:val="2"/>
    <w:uiPriority w:val="0"/>
    <w:rPr>
      <w:rFonts w:ascii="宋体" w:hAnsi="Times New Roman"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2017年度收入</c:v>
                </c:pt>
              </c:strCache>
            </c:strRef>
          </c:tx>
          <c:explosion val="0"/>
          <c:dPt>
            <c:idx val="0"/>
            <c:bubble3D val="0"/>
          </c:dPt>
          <c:dPt>
            <c:idx val="1"/>
            <c:bubble3D val="0"/>
          </c:dPt>
          <c:dLbls>
            <c:delete val="1"/>
          </c:dLbls>
          <c:cat>
            <c:strRef>
              <c:f>Sheet1!$A$2:$A$3</c:f>
              <c:strCache>
                <c:ptCount val="2"/>
                <c:pt idx="0">
                  <c:v>一般公共预算财政拨款</c:v>
                </c:pt>
                <c:pt idx="1">
                  <c:v>其他收入</c:v>
                </c:pt>
              </c:strCache>
            </c:strRef>
          </c:cat>
          <c:val>
            <c:numRef>
              <c:f>Sheet1!$B$2:$B$3</c:f>
              <c:numCache>
                <c:formatCode>General</c:formatCode>
                <c:ptCount val="2"/>
                <c:pt idx="0">
                  <c:v>739.170000000001</c:v>
                </c:pt>
                <c:pt idx="1">
                  <c:v>0.0900000000000001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2017年度支出</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366.27</c:v>
                </c:pt>
                <c:pt idx="1">
                  <c:v>366.08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收支总计</c:v>
                </c:pt>
              </c:strCache>
            </c:strRef>
          </c:tx>
          <c:invertIfNegative val="0"/>
          <c:dLbls>
            <c:delete val="1"/>
          </c:dLbls>
          <c:cat>
            <c:strRef>
              <c:f>Sheet1!$A$2:$A$5</c:f>
              <c:strCache>
                <c:ptCount val="4"/>
                <c:pt idx="0">
                  <c:v>2017年财政拨款收入</c:v>
                </c:pt>
                <c:pt idx="1">
                  <c:v>2017年财政拨款支出</c:v>
                </c:pt>
                <c:pt idx="2">
                  <c:v>2016年财政拨款收入</c:v>
                </c:pt>
                <c:pt idx="3">
                  <c:v>2016年财政拨款支出</c:v>
                </c:pt>
              </c:strCache>
            </c:strRef>
          </c:cat>
          <c:val>
            <c:numRef>
              <c:f>Sheet1!$B$2:$B$5</c:f>
              <c:numCache>
                <c:formatCode>General</c:formatCode>
                <c:ptCount val="4"/>
                <c:pt idx="0">
                  <c:v>739.170000000001</c:v>
                </c:pt>
                <c:pt idx="1">
                  <c:v>732.26</c:v>
                </c:pt>
                <c:pt idx="2">
                  <c:v>510.41</c:v>
                </c:pt>
                <c:pt idx="3">
                  <c:v>526.329999999999</c:v>
                </c:pt>
              </c:numCache>
            </c:numRef>
          </c:val>
        </c:ser>
        <c:ser>
          <c:idx val="1"/>
          <c:order val="1"/>
          <c:tx>
            <c:strRef>
              <c:f>Sheet1!$C$1</c:f>
              <c:strCache>
                <c:ptCount val="1"/>
                <c:pt idx="0">
                  <c:v>增长率</c:v>
                </c:pt>
              </c:strCache>
            </c:strRef>
          </c:tx>
          <c:invertIfNegative val="0"/>
          <c:dLbls>
            <c:delete val="1"/>
          </c:dLbls>
          <c:cat>
            <c:strRef>
              <c:f>Sheet1!$A$2:$A$5</c:f>
              <c:strCache>
                <c:ptCount val="4"/>
                <c:pt idx="0">
                  <c:v>2017年财政拨款收入</c:v>
                </c:pt>
                <c:pt idx="1">
                  <c:v>2017年财政拨款支出</c:v>
                </c:pt>
                <c:pt idx="2">
                  <c:v>2016年财政拨款收入</c:v>
                </c:pt>
                <c:pt idx="3">
                  <c:v>2016年财政拨款支出</c:v>
                </c:pt>
              </c:strCache>
            </c:strRef>
          </c:cat>
          <c:val>
            <c:numRef>
              <c:f>Sheet1!$C$2:$C$5</c:f>
              <c:numCache>
                <c:formatCode>General</c:formatCode>
                <c:ptCount val="4"/>
                <c:pt idx="0">
                  <c:v>44.82</c:v>
                </c:pt>
                <c:pt idx="1">
                  <c:v>39.13</c:v>
                </c:pt>
              </c:numCache>
            </c:numRef>
          </c:val>
        </c:ser>
        <c:dLbls>
          <c:showLegendKey val="0"/>
          <c:showVal val="0"/>
          <c:showCatName val="0"/>
          <c:showSerName val="0"/>
          <c:showPercent val="0"/>
          <c:showBubbleSize val="0"/>
        </c:dLbls>
        <c:gapWidth val="150"/>
        <c:overlap val="100"/>
        <c:axId val="166145024"/>
        <c:axId val="179741824"/>
      </c:barChart>
      <c:catAx>
        <c:axId val="16614502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9741824"/>
        <c:crosses val="autoZero"/>
        <c:auto val="1"/>
        <c:lblAlgn val="ctr"/>
        <c:lblOffset val="100"/>
        <c:noMultiLvlLbl val="0"/>
      </c:catAx>
      <c:valAx>
        <c:axId val="1797418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614502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支出总计</c:v>
                </c:pt>
              </c:strCache>
            </c:strRef>
          </c:tx>
          <c:invertIfNegative val="0"/>
          <c:dLbls>
            <c:delete val="1"/>
          </c:dLbls>
          <c:cat>
            <c:strRef>
              <c:f>Sheet1!$A$2:$A$3</c:f>
              <c:strCache>
                <c:ptCount val="2"/>
                <c:pt idx="0">
                  <c:v>2017年一般公共预算财政拨款支出</c:v>
                </c:pt>
                <c:pt idx="1">
                  <c:v>2016年一般公共预算财政拨款支出</c:v>
                </c:pt>
              </c:strCache>
            </c:strRef>
          </c:cat>
          <c:val>
            <c:numRef>
              <c:f>Sheet1!$B$2:$B$3</c:f>
              <c:numCache>
                <c:formatCode>General</c:formatCode>
                <c:ptCount val="2"/>
                <c:pt idx="0">
                  <c:v>732.26</c:v>
                </c:pt>
                <c:pt idx="1">
                  <c:v>526.329999999999</c:v>
                </c:pt>
              </c:numCache>
            </c:numRef>
          </c:val>
        </c:ser>
        <c:ser>
          <c:idx val="1"/>
          <c:order val="1"/>
          <c:tx>
            <c:strRef>
              <c:f>Sheet1!$C$1</c:f>
              <c:strCache>
                <c:ptCount val="1"/>
                <c:pt idx="0">
                  <c:v>增长率</c:v>
                </c:pt>
              </c:strCache>
            </c:strRef>
          </c:tx>
          <c:invertIfNegative val="0"/>
          <c:dLbls>
            <c:delete val="1"/>
          </c:dLbls>
          <c:cat>
            <c:strRef>
              <c:f>Sheet1!$A$2:$A$3</c:f>
              <c:strCache>
                <c:ptCount val="2"/>
                <c:pt idx="0">
                  <c:v>2017年一般公共预算财政拨款支出</c:v>
                </c:pt>
                <c:pt idx="1">
                  <c:v>2016年一般公共预算财政拨款支出</c:v>
                </c:pt>
              </c:strCache>
            </c:strRef>
          </c:cat>
          <c:val>
            <c:numRef>
              <c:f>Sheet1!$C$2:$C$3</c:f>
              <c:numCache>
                <c:formatCode>General</c:formatCode>
                <c:ptCount val="2"/>
                <c:pt idx="0">
                  <c:v>39.13</c:v>
                </c:pt>
              </c:numCache>
            </c:numRef>
          </c:val>
        </c:ser>
        <c:dLbls>
          <c:showLegendKey val="0"/>
          <c:showVal val="0"/>
          <c:showCatName val="0"/>
          <c:showSerName val="0"/>
          <c:showPercent val="0"/>
          <c:showBubbleSize val="0"/>
        </c:dLbls>
        <c:gapWidth val="150"/>
        <c:overlap val="100"/>
        <c:axId val="211330560"/>
        <c:axId val="224416128"/>
      </c:barChart>
      <c:catAx>
        <c:axId val="2113305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4416128"/>
        <c:crosses val="autoZero"/>
        <c:auto val="1"/>
        <c:lblAlgn val="ctr"/>
        <c:lblOffset val="100"/>
        <c:noMultiLvlLbl val="0"/>
      </c:catAx>
      <c:valAx>
        <c:axId val="2244161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133056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Lbls>
            <c:delete val="1"/>
          </c:dLbls>
          <c:cat>
            <c:strRef>
              <c:f>Sheet1!$A$2:$A$5</c:f>
              <c:strCache>
                <c:ptCount val="4"/>
                <c:pt idx="0">
                  <c:v>一般公共服务支出</c:v>
                </c:pt>
                <c:pt idx="1">
                  <c:v>教育支出</c:v>
                </c:pt>
                <c:pt idx="2">
                  <c:v>社会保障和就业支出</c:v>
                </c:pt>
                <c:pt idx="3">
                  <c:v>医疗卫生支出</c:v>
                </c:pt>
              </c:strCache>
            </c:strRef>
          </c:cat>
          <c:val>
            <c:numRef>
              <c:f>Sheet1!$B$2:$B$5</c:f>
              <c:numCache>
                <c:formatCode>General</c:formatCode>
                <c:ptCount val="4"/>
                <c:pt idx="0">
                  <c:v>686.9</c:v>
                </c:pt>
                <c:pt idx="1">
                  <c:v>2.28</c:v>
                </c:pt>
                <c:pt idx="2">
                  <c:v>33.42</c:v>
                </c:pt>
                <c:pt idx="3">
                  <c:v>9.66</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c:v>
                </c:pt>
              </c:strCache>
            </c:strRef>
          </c:tx>
          <c:explosion val="0"/>
          <c:dPt>
            <c:idx val="0"/>
            <c:bubble3D val="0"/>
          </c:dPt>
          <c:dLbls>
            <c:delete val="1"/>
          </c:dLbls>
          <c:cat>
            <c:strRef>
              <c:f>Sheet1!$A$2</c:f>
              <c:strCache>
                <c:ptCount val="1"/>
                <c:pt idx="0">
                  <c:v>公务接待费</c:v>
                </c:pt>
              </c:strCache>
            </c:strRef>
          </c:cat>
          <c:val>
            <c:numRef>
              <c:f>Sheet1!$B$2</c:f>
              <c:numCache>
                <c:formatCode>General</c:formatCode>
                <c:ptCount val="1"/>
                <c:pt idx="0">
                  <c:v>4.13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22F725-A9CC-463B-9744-07D917D0226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824</Words>
  <Characters>4700</Characters>
  <Lines>39</Lines>
  <Paragraphs>11</Paragraphs>
  <TotalTime>1</TotalTime>
  <ScaleCrop>false</ScaleCrop>
  <LinksUpToDate>false</LinksUpToDate>
  <CharactersWithSpaces>5513</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2018-09-26T08:57:00Z</dcterms:created>
  <dc:creator>何春梅</dc:creator>
  <cp:lastModifiedBy>user</cp:lastModifiedBy>
  <dcterms:modified xsi:type="dcterms:W3CDTF">2019-02-12T02:03:04Z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