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4E" w:rsidRDefault="00026D7C">
      <w:pPr>
        <w:pStyle w:val="1"/>
        <w:spacing w:before="0" w:beforeAutospacing="0" w:after="0" w:afterAutospacing="0" w:line="600" w:lineRule="exact"/>
        <w:jc w:val="center"/>
        <w:rPr>
          <w:rFonts w:ascii="方正小标宋简体" w:eastAsia="方正小标宋简体" w:cs="新宋体"/>
          <w:b w:val="0"/>
          <w:bCs w:val="0"/>
          <w:sz w:val="44"/>
          <w:szCs w:val="44"/>
        </w:rPr>
      </w:pPr>
      <w:r>
        <w:rPr>
          <w:rFonts w:ascii="方正小标宋简体" w:eastAsia="方正小标宋简体" w:cs="新宋体" w:hint="eastAsia"/>
          <w:b w:val="0"/>
          <w:bCs w:val="0"/>
          <w:sz w:val="44"/>
          <w:szCs w:val="44"/>
        </w:rPr>
        <w:t>江油市商务和旅游局</w:t>
      </w:r>
    </w:p>
    <w:p w:rsidR="0010674E" w:rsidRDefault="00026D7C">
      <w:pPr>
        <w:pStyle w:val="1"/>
        <w:spacing w:before="0" w:beforeAutospacing="0" w:after="0" w:afterAutospacing="0" w:line="600" w:lineRule="exact"/>
        <w:jc w:val="center"/>
        <w:rPr>
          <w:rFonts w:ascii="方正小标宋简体" w:eastAsia="方正小标宋简体" w:cs="新宋体"/>
          <w:b w:val="0"/>
          <w:bCs w:val="0"/>
          <w:sz w:val="44"/>
          <w:szCs w:val="44"/>
        </w:rPr>
      </w:pPr>
      <w:r>
        <w:rPr>
          <w:rFonts w:ascii="方正小标宋简体" w:eastAsia="方正小标宋简体" w:cs="新宋体" w:hint="eastAsia"/>
          <w:b w:val="0"/>
          <w:bCs w:val="0"/>
          <w:sz w:val="44"/>
          <w:szCs w:val="44"/>
        </w:rPr>
        <w:t>2017年部门决算编制说明</w:t>
      </w:r>
    </w:p>
    <w:p w:rsidR="0010674E" w:rsidRDefault="0010674E">
      <w:pPr>
        <w:spacing w:line="280" w:lineRule="exact"/>
        <w:rPr>
          <w:rFonts w:ascii="方正小标宋简体" w:eastAsia="方正小标宋简体" w:cs="新宋体"/>
          <w:sz w:val="44"/>
          <w:szCs w:val="44"/>
        </w:rPr>
      </w:pP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一、基本职能及主要工作</w:t>
      </w:r>
    </w:p>
    <w:p w:rsidR="0010674E" w:rsidRDefault="00026D7C">
      <w:pPr>
        <w:autoSpaceDE w:val="0"/>
        <w:autoSpaceDN w:val="0"/>
        <w:adjustRightInd w:val="0"/>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（一）主要职能</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1.贯彻执行国家、省和市国内外贸易、外商投资、对外经济合作、旅游工作的法律、法规和方针、政策，研究拟订全市国内外贸易、外商投资、对外经济合作、旅游管理的相关政策，拟订全市商务和旅游产业发展规划、年度计划并组织实施；负责全市商贸和旅游行政综合执法工作。</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 xml:space="preserve"> 2.拟订促进转变全市外贸增长方式的政策措施，指导对外贸易行业执行国家进出口商品、加工贸易管理办法和进出口管理商品、技术目录，组织实施重要工业品、原材料和重要农产品进出口总量计划，会同有关部门协调大宗进出口商品工作。贯彻执行赴境外举办各种商贸交易会、展览会、展销会等活动的管理办法并实施监督，指导贸易促进活动和外贸促进体系建设。</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3.依法监督技术引进、设备进口、国家限制出口技术的工作，推进进出口贸易标准化工作，推动发展服务贸易的相关工作及服务外包平台建设。</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4.拟订本市应对经济全球化、区域经济合作的对策措施，加强与自由贸易区、港澳台地区、“一带一路”国家的经贸合作，实施“走出去”、“引进来”重大项目，推进贸易和投资便利化。</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5.负责权限内的反倾销、反补贴、保障措施和技术性贸易壁垒等与进出口公平贸易相关的工作，建立进出口公平贸易预警机制；指导协调产业安全应对、企业在国外的反垄断应诉工作和国外对我市出口商品的反倾销、反补贴、保障措施的应诉及相关工作。</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6.指导全市外商投资促进和管理工作，拟订外商投资鼓励政策并组织实施，提高利用外资水平，牵头协调外商投资统计工作，依法监督检查外商投资企业执行有关法律、法规、规章、合同章程的情况并协调解决有关问题。</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7.负责全市对外经济合作工作，拟订并执行对外经济合作政策，依法管理和监督对外承包工程、对外劳务合作和出境就业等，承担境外投资管理的责任，牵头负责外派劳</w:t>
      </w:r>
      <w:r>
        <w:rPr>
          <w:rFonts w:ascii="新宋体" w:eastAsia="新宋体" w:hAnsi="新宋体" w:cs="新宋体" w:hint="eastAsia"/>
          <w:color w:val="000000"/>
          <w:kern w:val="0"/>
          <w:sz w:val="24"/>
        </w:rPr>
        <w:lastRenderedPageBreak/>
        <w:t>务和赴境外就业人员的权益保护工作，组织管理我市承担的国家对外援助任务，管理多双边对我市的无偿援助和赠款（不含财政合作项目下外国政府及国际金融组织对我市赠款）等发展合作业务。</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8.承担全市服务业发展工作中组织实施的协调职责，推动流通产业结构调整，加快第三方物流发展，商贸服务业和社区商业发展，提出促进商贸企业发展的政策建议，推动流通标准化和连锁经营、物流配送、电子商务等现代流通方式的发展。</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9.研究提出引导国内外资金投向市场体系建设的政策，编制大宗产品批发市场规划，指导城市商业网点规划和商业体系建设工作，推进农村市场体系建设，组织实施农村现代流通网络工程，促进城乡市场一体化发展。</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10.负责全市电子商务、公共商务信息服务体系的规划、建设并组织实施。</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11.牵头协调全市整顿和规范市场经济秩序工作职责，拟订规范市场运行和流通秩序的政策，推动商务领域信用建设，指导商业信用销售，建立市场诚信公共服务平台，负责江油市内会展业发展的指导监管工作。</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12.按规定对特殊流通行业和茧丝绸流通指导监管。</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13.承担组织实施重要消费品市场调控和重要生产资料流通管理的责任，负责建立健全生活必需品市场供应应急管理机制，监测分析市场运行、商品供求状况，调查分析商品价格信息，进行预测预警和信息引导，负责重要消费品储备管理和市场调控工作，组织实施紧急情况下物资的紧急调度。</w:t>
      </w:r>
    </w:p>
    <w:p w:rsidR="0010674E" w:rsidRDefault="00026D7C">
      <w:pPr>
        <w:autoSpaceDE w:val="0"/>
        <w:autoSpaceDN w:val="0"/>
        <w:adjustRightInd w:val="0"/>
        <w:spacing w:line="360" w:lineRule="auto"/>
        <w:ind w:firstLineChars="200" w:firstLine="480"/>
        <w:jc w:val="left"/>
        <w:rPr>
          <w:rFonts w:ascii="新宋体" w:eastAsia="新宋体" w:hAnsi="新宋体" w:cs="新宋体"/>
          <w:color w:val="000000"/>
          <w:kern w:val="0"/>
          <w:sz w:val="24"/>
        </w:rPr>
      </w:pPr>
      <w:r>
        <w:rPr>
          <w:rFonts w:ascii="新宋体" w:eastAsia="新宋体" w:hAnsi="新宋体" w:cs="新宋体" w:hint="eastAsia"/>
          <w:color w:val="000000"/>
          <w:kern w:val="0"/>
          <w:sz w:val="24"/>
        </w:rPr>
        <w:t>14.负责管理全市旅游工作。负责管理旅游行业和旅游市场，调查研究旅游市场的发展状况和趋势；负责旅行社的日常管理；负责全市旅游安全生产；指导相关行业协会、学会的业务活动。</w:t>
      </w:r>
    </w:p>
    <w:p w:rsidR="0010674E" w:rsidRDefault="00026D7C">
      <w:pPr>
        <w:autoSpaceDE w:val="0"/>
        <w:autoSpaceDN w:val="0"/>
        <w:adjustRightInd w:val="0"/>
        <w:spacing w:line="360" w:lineRule="auto"/>
        <w:ind w:firstLineChars="200" w:firstLine="480"/>
        <w:rPr>
          <w:rFonts w:ascii="新宋体" w:eastAsia="新宋体" w:hAnsi="新宋体" w:cs="新宋体"/>
          <w:color w:val="000000"/>
          <w:kern w:val="0"/>
          <w:sz w:val="24"/>
        </w:rPr>
      </w:pPr>
      <w:r>
        <w:rPr>
          <w:rFonts w:ascii="新宋体" w:eastAsia="新宋体" w:hAnsi="新宋体" w:cs="新宋体" w:hint="eastAsia"/>
          <w:color w:val="000000"/>
          <w:kern w:val="0"/>
          <w:sz w:val="24"/>
        </w:rPr>
        <w:t>15.承办市政府交办的其他事项。</w:t>
      </w:r>
    </w:p>
    <w:p w:rsidR="0010674E" w:rsidRDefault="00026D7C">
      <w:pPr>
        <w:pStyle w:val="a6"/>
        <w:spacing w:line="360" w:lineRule="auto"/>
        <w:ind w:firstLine="480"/>
        <w:jc w:val="both"/>
        <w:rPr>
          <w:rFonts w:ascii="新宋体" w:eastAsia="新宋体" w:hAnsi="新宋体" w:cs="新宋体"/>
          <w:sz w:val="24"/>
          <w:szCs w:val="24"/>
        </w:rPr>
      </w:pPr>
      <w:r>
        <w:rPr>
          <w:rFonts w:ascii="新宋体" w:eastAsia="新宋体" w:hAnsi="新宋体" w:cs="新宋体" w:hint="eastAsia"/>
          <w:sz w:val="24"/>
          <w:szCs w:val="24"/>
        </w:rPr>
        <w:t>（二）2017年重点工作完成情况</w:t>
      </w:r>
    </w:p>
    <w:p w:rsidR="0010674E" w:rsidRDefault="00FE130C">
      <w:pPr>
        <w:pStyle w:val="a6"/>
        <w:spacing w:line="360" w:lineRule="auto"/>
        <w:ind w:firstLine="480"/>
        <w:jc w:val="both"/>
        <w:rPr>
          <w:rFonts w:ascii="新宋体" w:eastAsia="新宋体" w:hAnsi="新宋体" w:cs="新宋体"/>
          <w:sz w:val="24"/>
          <w:szCs w:val="24"/>
        </w:rPr>
      </w:pPr>
      <w:r>
        <w:rPr>
          <w:rFonts w:ascii="新宋体" w:eastAsia="新宋体" w:hAnsi="新宋体" w:cs="新宋体" w:hint="eastAsia"/>
          <w:sz w:val="24"/>
          <w:szCs w:val="24"/>
        </w:rPr>
        <w:t>一是社会消费品零售总额</w:t>
      </w:r>
      <w:r w:rsidR="00026D7C">
        <w:rPr>
          <w:rFonts w:ascii="新宋体" w:eastAsia="新宋体" w:hAnsi="新宋体" w:cs="新宋体" w:hint="eastAsia"/>
          <w:sz w:val="24"/>
          <w:szCs w:val="24"/>
        </w:rPr>
        <w:t>。2017年，全市实现社会消费品零售总额182亿元、增长12.6%，排名绵阳第一。</w:t>
      </w:r>
    </w:p>
    <w:p w:rsidR="0010674E" w:rsidRDefault="00FE130C">
      <w:pPr>
        <w:pStyle w:val="a6"/>
        <w:spacing w:line="360" w:lineRule="auto"/>
        <w:ind w:firstLine="480"/>
        <w:jc w:val="both"/>
        <w:rPr>
          <w:rFonts w:ascii="新宋体" w:eastAsia="新宋体" w:hAnsi="新宋体" w:cs="新宋体"/>
          <w:sz w:val="24"/>
          <w:szCs w:val="24"/>
        </w:rPr>
      </w:pPr>
      <w:r>
        <w:rPr>
          <w:rFonts w:ascii="新宋体" w:eastAsia="新宋体" w:hAnsi="新宋体" w:cs="新宋体" w:hint="eastAsia"/>
          <w:sz w:val="24"/>
          <w:szCs w:val="24"/>
        </w:rPr>
        <w:t>二是服务业增加值增幅</w:t>
      </w:r>
      <w:r w:rsidR="00026D7C">
        <w:rPr>
          <w:rFonts w:ascii="新宋体" w:eastAsia="新宋体" w:hAnsi="新宋体" w:cs="新宋体" w:hint="eastAsia"/>
          <w:sz w:val="24"/>
          <w:szCs w:val="24"/>
        </w:rPr>
        <w:t>。2017年，全市实现服务业增加值152.4亿元、增长10.6%，高质量完成绵阳下达的目标任务。</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三是旅游总收入。2017年，全市旅游总收入98亿元，同比增长22.3%，超额完成绵阳下达96.096亿元，增长20%的目标任务。</w:t>
      </w:r>
    </w:p>
    <w:p w:rsidR="0010674E" w:rsidRDefault="00FE130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四是电子商务交易规模</w:t>
      </w:r>
      <w:r w:rsidR="00026D7C">
        <w:rPr>
          <w:rFonts w:ascii="新宋体" w:eastAsia="新宋体" w:hAnsi="新宋体" w:cs="新宋体" w:hint="eastAsia"/>
          <w:sz w:val="24"/>
        </w:rPr>
        <w:t>。2017年，全市电商交易规模达183.69亿元，完成全年目标任务的122.46%；网络零售额实现16.83亿元，完成全年目标任务的112.2%；绵阳名优特产品线上交易额1.33亿元，完成全年目标任务的133%。</w:t>
      </w:r>
    </w:p>
    <w:p w:rsidR="0010674E" w:rsidRDefault="00FE130C">
      <w:pPr>
        <w:spacing w:line="360" w:lineRule="auto"/>
        <w:ind w:firstLineChars="200" w:firstLine="480"/>
        <w:rPr>
          <w:rFonts w:ascii="新宋体" w:eastAsia="新宋体" w:hAnsi="新宋体" w:cs="新宋体"/>
          <w:color w:val="000000"/>
          <w:sz w:val="24"/>
        </w:rPr>
      </w:pPr>
      <w:r>
        <w:rPr>
          <w:rFonts w:ascii="新宋体" w:eastAsia="新宋体" w:hAnsi="新宋体" w:cs="新宋体" w:hint="eastAsia"/>
          <w:sz w:val="24"/>
        </w:rPr>
        <w:t>五是外经贸进出口</w:t>
      </w:r>
      <w:r w:rsidR="00026D7C">
        <w:rPr>
          <w:rFonts w:ascii="新宋体" w:eastAsia="新宋体" w:hAnsi="新宋体" w:cs="新宋体" w:hint="eastAsia"/>
          <w:sz w:val="24"/>
        </w:rPr>
        <w:t>。</w:t>
      </w:r>
      <w:r w:rsidR="00026D7C">
        <w:rPr>
          <w:rFonts w:ascii="新宋体" w:eastAsia="新宋体" w:hAnsi="新宋体" w:cs="新宋体" w:hint="eastAsia"/>
          <w:bCs/>
          <w:sz w:val="24"/>
        </w:rPr>
        <w:t>2017年，我市</w:t>
      </w:r>
      <w:r w:rsidR="00026D7C">
        <w:rPr>
          <w:rFonts w:ascii="新宋体" w:eastAsia="新宋体" w:hAnsi="新宋体" w:cs="新宋体" w:hint="eastAsia"/>
          <w:color w:val="000000"/>
          <w:sz w:val="24"/>
        </w:rPr>
        <w:t>外贸进出口实现4851万美元，完成全年目标任务。</w:t>
      </w:r>
    </w:p>
    <w:p w:rsidR="00ED1C12" w:rsidRDefault="00ED1C12">
      <w:pPr>
        <w:spacing w:line="360" w:lineRule="auto"/>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六是引进利用外资。2017年，我市引进利用外资1000万</w:t>
      </w:r>
      <w:r w:rsidR="00E06848">
        <w:rPr>
          <w:rFonts w:ascii="新宋体" w:eastAsia="新宋体" w:hAnsi="新宋体" w:cs="新宋体" w:hint="eastAsia"/>
          <w:color w:val="000000"/>
          <w:sz w:val="24"/>
        </w:rPr>
        <w:t>美</w:t>
      </w:r>
      <w:r>
        <w:rPr>
          <w:rFonts w:ascii="新宋体" w:eastAsia="新宋体" w:hAnsi="新宋体" w:cs="新宋体" w:hint="eastAsia"/>
          <w:color w:val="000000"/>
          <w:sz w:val="24"/>
        </w:rPr>
        <w:t>元，完成全年目标任务。</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二、部门概况</w:t>
      </w:r>
    </w:p>
    <w:p w:rsidR="0010674E" w:rsidRDefault="00026D7C">
      <w:pPr>
        <w:autoSpaceDE w:val="0"/>
        <w:autoSpaceDN w:val="0"/>
        <w:adjustRightInd w:val="0"/>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江油市商务和旅游局</w:t>
      </w:r>
      <w:r w:rsidR="00ED1C12">
        <w:rPr>
          <w:rFonts w:ascii="新宋体" w:eastAsia="新宋体" w:hAnsi="新宋体" w:cs="新宋体" w:hint="eastAsia"/>
          <w:sz w:val="24"/>
        </w:rPr>
        <w:t>（以下称商旅局）</w:t>
      </w:r>
      <w:r w:rsidR="00407323">
        <w:rPr>
          <w:rFonts w:ascii="新宋体" w:eastAsia="新宋体" w:hAnsi="新宋体" w:cs="新宋体" w:hint="eastAsia"/>
          <w:sz w:val="24"/>
        </w:rPr>
        <w:t>下属二级2个</w:t>
      </w:r>
      <w:r w:rsidR="00496C49">
        <w:rPr>
          <w:rFonts w:ascii="新宋体" w:eastAsia="新宋体" w:hAnsi="新宋体" w:cs="新宋体" w:hint="eastAsia"/>
          <w:sz w:val="24"/>
        </w:rPr>
        <w:t>事业单位</w:t>
      </w:r>
      <w:r w:rsidR="00177020">
        <w:rPr>
          <w:rFonts w:ascii="新宋体" w:eastAsia="新宋体" w:hAnsi="新宋体" w:cs="新宋体" w:hint="eastAsia"/>
          <w:color w:val="000000"/>
          <w:kern w:val="0"/>
          <w:sz w:val="24"/>
        </w:rPr>
        <w:t>，江油市经济商务行政执法大队</w:t>
      </w:r>
      <w:r w:rsidR="0091309E">
        <w:rPr>
          <w:rFonts w:ascii="新宋体" w:eastAsia="新宋体" w:hAnsi="新宋体" w:cs="新宋体" w:hint="eastAsia"/>
          <w:color w:val="000000"/>
          <w:kern w:val="0"/>
          <w:sz w:val="24"/>
        </w:rPr>
        <w:t>和</w:t>
      </w:r>
      <w:r w:rsidR="00177020">
        <w:rPr>
          <w:rFonts w:ascii="新宋体" w:eastAsia="新宋体" w:hAnsi="新宋体" w:cs="新宋体" w:hint="eastAsia"/>
          <w:color w:val="000000"/>
          <w:kern w:val="0"/>
          <w:sz w:val="24"/>
        </w:rPr>
        <w:t>江油市文化旅游咨询服务中心。</w:t>
      </w:r>
    </w:p>
    <w:p w:rsidR="0010674E" w:rsidRDefault="00026D7C" w:rsidP="0017702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三、收支决算总体情况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2017年江油市商</w:t>
      </w:r>
      <w:r w:rsidR="00ED1C12">
        <w:rPr>
          <w:rFonts w:ascii="新宋体" w:eastAsia="新宋体" w:hAnsi="新宋体" w:cs="新宋体" w:hint="eastAsia"/>
          <w:sz w:val="24"/>
        </w:rPr>
        <w:t>旅</w:t>
      </w:r>
      <w:r>
        <w:rPr>
          <w:rFonts w:ascii="新宋体" w:eastAsia="新宋体" w:hAnsi="新宋体" w:cs="新宋体" w:hint="eastAsia"/>
          <w:sz w:val="24"/>
        </w:rPr>
        <w:t>局本年收入合计1018.72万元，其中：一般公共预算财政拨款收入982.35万元，占96.43%；政府性基金预算财政拨款35万元，占3.44%</w:t>
      </w:r>
      <w:r w:rsidR="00E00E2F">
        <w:rPr>
          <w:rFonts w:ascii="新宋体" w:eastAsia="新宋体" w:hAnsi="新宋体" w:cs="新宋体" w:hint="eastAsia"/>
          <w:sz w:val="24"/>
        </w:rPr>
        <w:t>；</w:t>
      </w:r>
      <w:r>
        <w:rPr>
          <w:rFonts w:ascii="新宋体" w:eastAsia="新宋体" w:hAnsi="新宋体" w:cs="新宋体" w:hint="eastAsia"/>
          <w:sz w:val="24"/>
        </w:rPr>
        <w:t>其他收入1.37万元，占0.13 %。</w:t>
      </w:r>
      <w:r w:rsidR="00982633">
        <w:rPr>
          <w:rFonts w:ascii="新宋体" w:eastAsia="新宋体" w:hAnsi="新宋体" w:cs="新宋体" w:hint="eastAsia"/>
          <w:sz w:val="24"/>
        </w:rPr>
        <w:t>与2016年本年收入合计</w:t>
      </w:r>
      <w:r w:rsidR="00FA352F">
        <w:rPr>
          <w:rFonts w:ascii="新宋体" w:eastAsia="新宋体" w:hAnsi="新宋体" w:cs="新宋体" w:hint="eastAsia"/>
          <w:sz w:val="24"/>
        </w:rPr>
        <w:t>6154.64</w:t>
      </w:r>
      <w:r w:rsidR="00982633">
        <w:rPr>
          <w:rFonts w:ascii="新宋体" w:eastAsia="新宋体" w:hAnsi="新宋体" w:cs="新宋体" w:hint="eastAsia"/>
          <w:sz w:val="24"/>
        </w:rPr>
        <w:t>万元相比，减少5135.92万元，下降了</w:t>
      </w:r>
      <w:r w:rsidR="00FA352F">
        <w:rPr>
          <w:rFonts w:ascii="新宋体" w:eastAsia="新宋体" w:hAnsi="新宋体" w:cs="新宋体" w:hint="eastAsia"/>
          <w:sz w:val="24"/>
        </w:rPr>
        <w:t>83.45%。下降的主要原因是政府性基金预算拨款收入减少。</w:t>
      </w:r>
    </w:p>
    <w:p w:rsidR="0010674E" w:rsidRDefault="00026D7C">
      <w:pPr>
        <w:spacing w:line="360" w:lineRule="auto"/>
        <w:ind w:firstLineChars="200" w:firstLine="480"/>
        <w:jc w:val="center"/>
        <w:rPr>
          <w:rFonts w:ascii="新宋体" w:eastAsia="新宋体" w:hAnsi="新宋体" w:cs="新宋体"/>
          <w:sz w:val="24"/>
        </w:rPr>
      </w:pPr>
      <w:r>
        <w:rPr>
          <w:rFonts w:ascii="新宋体" w:eastAsia="新宋体" w:hAnsi="新宋体" w:cs="新宋体"/>
          <w:noProof/>
          <w:sz w:val="24"/>
        </w:rPr>
        <w:drawing>
          <wp:inline distT="0" distB="0" distL="0" distR="0">
            <wp:extent cx="4962525" cy="307657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2017年市商旅局本年支出968.83万元，其中：基本支出561.76万元，占58.03%；项目支出370.69万元，占38.36%；政府性基金支出35万元，占3.61%。</w:t>
      </w:r>
      <w:r w:rsidR="00FA352F">
        <w:rPr>
          <w:rFonts w:ascii="新宋体" w:eastAsia="新宋体" w:hAnsi="新宋体" w:cs="新宋体" w:hint="eastAsia"/>
          <w:sz w:val="24"/>
        </w:rPr>
        <w:t>与2016年本年支出合计6141.32万元相比，减少5172.49万元，下降84.22%。下降的主要原因是</w:t>
      </w:r>
      <w:r w:rsidR="00AB3ECF">
        <w:rPr>
          <w:rFonts w:ascii="新宋体" w:eastAsia="新宋体" w:hAnsi="新宋体" w:cs="新宋体" w:hint="eastAsia"/>
          <w:sz w:val="24"/>
        </w:rPr>
        <w:t>政府性基金预算拨款支出减少。</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5105400" cy="3076575"/>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四、财政拨款支出决算情况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市商旅局2017年度财政拨款收支总决算1597.69万元。与2016年相比，财政拨款收、支总计各减少5148.56万元 ，下降了76.32%。</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lastRenderedPageBreak/>
        <w:drawing>
          <wp:inline distT="0" distB="0" distL="0" distR="0">
            <wp:extent cx="5276850" cy="3076575"/>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674E" w:rsidRDefault="00026D7C">
      <w:pPr>
        <w:spacing w:line="360" w:lineRule="auto"/>
        <w:ind w:firstLineChars="150" w:firstLine="360"/>
        <w:jc w:val="center"/>
        <w:rPr>
          <w:rFonts w:ascii="新宋体" w:eastAsia="新宋体" w:hAnsi="新宋体" w:cs="新宋体"/>
          <w:sz w:val="24"/>
        </w:rPr>
      </w:pPr>
      <w:r>
        <w:rPr>
          <w:rFonts w:ascii="新宋体" w:eastAsia="新宋体" w:hAnsi="新宋体" w:cs="新宋体" w:hint="eastAsia"/>
          <w:sz w:val="24"/>
        </w:rPr>
        <w:t>2016、2017年财政拨款收支总计对比图</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五、一般公共预算财政拨款支出决算情况</w:t>
      </w:r>
    </w:p>
    <w:p w:rsidR="0010674E" w:rsidRDefault="00026D7C">
      <w:pPr>
        <w:spacing w:line="360" w:lineRule="auto"/>
        <w:ind w:firstLineChars="200" w:firstLine="482"/>
        <w:rPr>
          <w:rFonts w:ascii="新宋体" w:eastAsia="新宋体" w:hAnsi="新宋体" w:cs="新宋体"/>
          <w:b/>
          <w:sz w:val="24"/>
        </w:rPr>
      </w:pPr>
      <w:r>
        <w:rPr>
          <w:rFonts w:ascii="新宋体" w:eastAsia="新宋体" w:hAnsi="新宋体" w:cs="新宋体" w:hint="eastAsia"/>
          <w:b/>
          <w:sz w:val="24"/>
        </w:rPr>
        <w:t>（一）一般公共预算财政拨款支出决算总体情况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市商旅局2017年度一般公共预算财政拨款支出932.45万元，占本年支出合计的100%。与2016年相比，一般公共预算财政拨款增加128.06万元，增长15.92%。</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5210175" cy="3076575"/>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674E" w:rsidRDefault="00E00E2F">
      <w:pPr>
        <w:spacing w:line="360" w:lineRule="auto"/>
        <w:ind w:firstLineChars="150" w:firstLine="360"/>
        <w:jc w:val="center"/>
        <w:rPr>
          <w:rFonts w:ascii="新宋体" w:eastAsia="新宋体" w:hAnsi="新宋体" w:cs="新宋体"/>
          <w:sz w:val="24"/>
        </w:rPr>
      </w:pPr>
      <w:r>
        <w:rPr>
          <w:rFonts w:ascii="新宋体" w:eastAsia="新宋体" w:hAnsi="新宋体" w:cs="新宋体" w:hint="eastAsia"/>
          <w:sz w:val="24"/>
        </w:rPr>
        <w:t>2016</w:t>
      </w:r>
      <w:r w:rsidR="00026D7C">
        <w:rPr>
          <w:rFonts w:ascii="新宋体" w:eastAsia="新宋体" w:hAnsi="新宋体" w:cs="新宋体" w:hint="eastAsia"/>
          <w:sz w:val="24"/>
        </w:rPr>
        <w:t>、</w:t>
      </w:r>
      <w:r>
        <w:rPr>
          <w:rFonts w:ascii="新宋体" w:eastAsia="新宋体" w:hAnsi="新宋体" w:cs="新宋体" w:hint="eastAsia"/>
          <w:sz w:val="24"/>
        </w:rPr>
        <w:t>2017</w:t>
      </w:r>
      <w:r w:rsidR="00026D7C">
        <w:rPr>
          <w:rFonts w:ascii="新宋体" w:eastAsia="新宋体" w:hAnsi="新宋体" w:cs="新宋体" w:hint="eastAsia"/>
          <w:sz w:val="24"/>
        </w:rPr>
        <w:t>年一般公共预算财政拨款支出决算对比图</w:t>
      </w:r>
    </w:p>
    <w:p w:rsidR="0010674E" w:rsidRDefault="00026D7C">
      <w:pPr>
        <w:spacing w:line="360" w:lineRule="auto"/>
        <w:ind w:firstLineChars="200" w:firstLine="482"/>
        <w:rPr>
          <w:rFonts w:ascii="新宋体" w:eastAsia="新宋体" w:hAnsi="新宋体" w:cs="新宋体"/>
          <w:b/>
          <w:sz w:val="24"/>
        </w:rPr>
      </w:pPr>
      <w:r>
        <w:rPr>
          <w:rFonts w:ascii="新宋体" w:eastAsia="新宋体" w:hAnsi="新宋体" w:cs="新宋体" w:hint="eastAsia"/>
          <w:b/>
          <w:sz w:val="24"/>
        </w:rPr>
        <w:lastRenderedPageBreak/>
        <w:t>（二）一般公共预算财政拨款支出决算结构情况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市商旅局2017年度一般公共预算财政拨款支出932.45万元，主要用于以下方面：一般公共服务支出585.43万元，占62.9%；教育支出2.91万元，占0.3%；社会保障和就业支出171.38万元，占18.27%；医疗卫生与计划生育支出12.36万元，占1.33%；商业服务业等支出160.38万元，占17.2%。</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5210175" cy="2514600"/>
            <wp:effectExtent l="4445" t="4445" r="5080"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674E" w:rsidRDefault="00026D7C">
      <w:pPr>
        <w:spacing w:line="360" w:lineRule="auto"/>
        <w:ind w:firstLineChars="200" w:firstLine="482"/>
        <w:rPr>
          <w:rFonts w:ascii="新宋体" w:eastAsia="新宋体" w:hAnsi="新宋体" w:cs="新宋体"/>
          <w:b/>
          <w:sz w:val="24"/>
        </w:rPr>
      </w:pPr>
      <w:r>
        <w:rPr>
          <w:rFonts w:ascii="新宋体" w:eastAsia="新宋体" w:hAnsi="新宋体" w:cs="新宋体" w:hint="eastAsia"/>
          <w:b/>
          <w:sz w:val="24"/>
        </w:rPr>
        <w:t>（三）一般公共预算财政拨款支出决算具体情况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1.一般公共服务支出（类）商贸事务（款）行政运行（项）：2017年决算数为376.49万元，完成预算的100%。决算数小于预算数的主要原因是机关职工养老保险单位缴费部分，资金结转至下一年度继续使用。</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 一般公共服务支出（类）商贸事务（款）一般行政管理事务（项）：2017年决算数为135.62万元，完成预算的100%，决算数大于预算数的主要原因是部分项目为跨年执行项目，上年度的结余资本年度使用。</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 一般公共服务支出（类）商贸事务（款）其他商贸事务（项）：2017年决算数为74.69万元，完成预算的85.56%。决算数小于预算数的主要原因是部分项目为跨年执行项目，资金结转至下一年度继续使用。</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4.教育支出（类）进修及培训（款）培训支出（项）：2017年决算数为2.91万元，完成预算的100%。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5.社会保障和就业支出（类）行政事业单位离退休（款）归口管理的行政单位离退</w:t>
      </w:r>
      <w:r>
        <w:rPr>
          <w:rFonts w:ascii="新宋体" w:eastAsia="新宋体" w:hAnsi="新宋体" w:cs="新宋体" w:hint="eastAsia"/>
          <w:sz w:val="24"/>
        </w:rPr>
        <w:lastRenderedPageBreak/>
        <w:t>休（项）：2017年决算数为40.93万元，完成预算的100%。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6.社会保障和就业支出（类）行政事业单位离退休（款）事业单位离退休（项）：2017年决算数为63.97万元，完成预算的100%。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7.社会保障和就业支出（类）行政事业单位离退休（款）机关事业单位基本养老保险缴费支出（项）：2017年决算数为40.93万元，完成预算的100%。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8. 社会保障和就业支出（类）抚恤（款）死亡抚恤（项）：2017年决算数为5.19万元，完成预算的100%。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9.医疗卫生与计划生育支出（类）医疗保障（款）行政单位医疗（项）：2017年决算数为7.65万元，完成预算的100%。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10.医疗卫生与计划生育支出（类）医疗保障（款）事业单位医疗（项）：2017年决算数为4.71万元，完成预算的100%。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11.城乡社区支出（类）城乡社区规划与管理（款）城乡社区规划与管理（项）：2017年决算未发生支出，决算数小于预算数的主要原因是该项目为政府采购跨年执行项目，项目采购资金结转至下一年度继续使用。</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12.商业服务业等支出（类）商业流通事务（款）其他商业流通事务支出（项）：2017年决算数为111.22万元，完成预算的100%。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13. 商业服务业等支出（类）旅游业管理与服务支出（款）其他旅游业管理与服务支出（项）：2017年决算数为49.16万元，完成预算的100%。</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 xml:space="preserve">14. 商业服务业等支出（类）旅游发展基金支出（款）地方开发项目补助（项）：2017年支出35万元，完成预算的100%。 </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六、一般公共预算财政拨款基本支出决算情况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市商旅局2017年一般公共预算财政拨款基本支出561.76万元，其中：</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人员经费490.18万元，主要包括：基本工资、津贴补贴、奖金、其他社会保障缴费、绩效工资、机关事业单位基本养老保险缴费、其他工资福利支出、抚恤金、生活补助、奖励金、住房公积金。</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公用经费71.58万元，主要包括：办公费、手续费、水费、电费、邮电费、物业管理费、差旅费、维修（护）费、会议费、培训费、公务接待费、工会经费、福利费、公</w:t>
      </w:r>
      <w:r>
        <w:rPr>
          <w:rFonts w:ascii="新宋体" w:eastAsia="新宋体" w:hAnsi="新宋体" w:cs="新宋体" w:hint="eastAsia"/>
          <w:sz w:val="24"/>
        </w:rPr>
        <w:lastRenderedPageBreak/>
        <w:t>务用车运行维护费、其他交通费用。</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七、“三公”经费财政拨款支出决算情况</w:t>
      </w:r>
    </w:p>
    <w:p w:rsidR="0010674E" w:rsidRDefault="00026D7C">
      <w:pPr>
        <w:spacing w:line="360" w:lineRule="auto"/>
        <w:ind w:firstLineChars="200" w:firstLine="482"/>
        <w:rPr>
          <w:rFonts w:ascii="新宋体" w:eastAsia="新宋体" w:hAnsi="新宋体" w:cs="新宋体"/>
          <w:b/>
          <w:sz w:val="24"/>
        </w:rPr>
      </w:pPr>
      <w:r>
        <w:rPr>
          <w:rFonts w:ascii="新宋体" w:eastAsia="新宋体" w:hAnsi="新宋体" w:cs="新宋体" w:hint="eastAsia"/>
          <w:b/>
          <w:sz w:val="24"/>
        </w:rPr>
        <w:t>（一）“三公”经费财政拨款支出决算总体情况说明</w:t>
      </w:r>
    </w:p>
    <w:p w:rsidR="0010674E" w:rsidRDefault="00E00E2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市商旅局</w:t>
      </w:r>
      <w:r w:rsidR="00026D7C">
        <w:rPr>
          <w:rFonts w:ascii="新宋体" w:eastAsia="新宋体" w:hAnsi="新宋体" w:cs="新宋体" w:hint="eastAsia"/>
          <w:sz w:val="24"/>
        </w:rPr>
        <w:t>2017年度“三公”经费财政拨款支出决算为15.33万元，完成预算100%，其中：无因公出国（境）费支出；无公务用车购置及运行维护费支出；公务接待费支出决算为15.33万元，完成预算100%。2017年度“三公”经费支出决算与预算数持平的主要原因是继续严格贯彻执行中央八项规定、省委省政府十项规定、江油市委、市政府七项规定要求，厉行节约，加强“三公”经费管理。</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2017年度“三公”经费财政拨款支出决算数比2016年增长3.35万元，增长27.96%，其中：无因公出国（境）费支出；无公务用车购置及运行维护费支出；公务接待费支出决算增长3.35</w:t>
      </w:r>
      <w:r w:rsidR="00E00E2F">
        <w:rPr>
          <w:rFonts w:ascii="新宋体" w:eastAsia="新宋体" w:hAnsi="新宋体" w:cs="新宋体" w:hint="eastAsia"/>
          <w:sz w:val="24"/>
          <w:szCs w:val="24"/>
        </w:rPr>
        <w:t>万元，增长</w:t>
      </w:r>
      <w:r>
        <w:rPr>
          <w:rFonts w:ascii="新宋体" w:eastAsia="新宋体" w:hAnsi="新宋体" w:cs="新宋体" w:hint="eastAsia"/>
          <w:sz w:val="24"/>
          <w:szCs w:val="24"/>
        </w:rPr>
        <w:t>27.76%，增长的主要原因是</w:t>
      </w:r>
      <w:r w:rsidR="00E00E2F">
        <w:rPr>
          <w:rFonts w:ascii="新宋体" w:eastAsia="新宋体" w:hAnsi="新宋体" w:cs="新宋体" w:hint="eastAsia"/>
          <w:sz w:val="24"/>
          <w:szCs w:val="24"/>
        </w:rPr>
        <w:t>机构改革，</w:t>
      </w:r>
      <w:r w:rsidR="00ED1C12">
        <w:rPr>
          <w:rFonts w:ascii="新宋体" w:eastAsia="新宋体" w:hAnsi="新宋体" w:cs="新宋体" w:hint="eastAsia"/>
          <w:sz w:val="24"/>
          <w:szCs w:val="24"/>
        </w:rPr>
        <w:t>新组建江油市商务和旅游局，</w:t>
      </w:r>
      <w:r w:rsidR="00E00E2F">
        <w:rPr>
          <w:rFonts w:ascii="新宋体" w:eastAsia="新宋体" w:hAnsi="新宋体" w:cs="新宋体" w:hint="eastAsia"/>
          <w:sz w:val="24"/>
          <w:szCs w:val="24"/>
        </w:rPr>
        <w:t>工作业务范围增加</w:t>
      </w:r>
      <w:r w:rsidR="00ED1C12">
        <w:rPr>
          <w:rFonts w:ascii="新宋体" w:eastAsia="新宋体" w:hAnsi="新宋体" w:cs="新宋体" w:hint="eastAsia"/>
          <w:sz w:val="24"/>
          <w:szCs w:val="24"/>
        </w:rPr>
        <w:t>了旅游业发展管理，在职人数也比2016年增加了7人</w:t>
      </w:r>
      <w:r w:rsidR="00E00E2F">
        <w:rPr>
          <w:rFonts w:ascii="新宋体" w:eastAsia="新宋体" w:hAnsi="新宋体" w:cs="新宋体" w:hint="eastAsia"/>
          <w:sz w:val="24"/>
          <w:szCs w:val="24"/>
        </w:rPr>
        <w:t>。我局</w:t>
      </w:r>
      <w:r>
        <w:rPr>
          <w:rFonts w:ascii="新宋体" w:eastAsia="新宋体" w:hAnsi="新宋体" w:cs="新宋体" w:hint="eastAsia"/>
          <w:sz w:val="24"/>
          <w:szCs w:val="24"/>
        </w:rPr>
        <w:t>继续贯彻落实中央八项规定、省委省政府十项规定、江油市委、市政府七项规定要求，严控接待标准，坚持厉行节约。</w:t>
      </w:r>
    </w:p>
    <w:p w:rsidR="0010674E" w:rsidRDefault="00026D7C">
      <w:pPr>
        <w:pStyle w:val="p0"/>
        <w:spacing w:line="360" w:lineRule="auto"/>
        <w:ind w:firstLineChars="200" w:firstLine="482"/>
        <w:rPr>
          <w:rFonts w:ascii="新宋体" w:eastAsia="新宋体" w:hAnsi="新宋体" w:cs="新宋体"/>
          <w:b/>
          <w:sz w:val="24"/>
          <w:szCs w:val="24"/>
        </w:rPr>
      </w:pPr>
      <w:r>
        <w:rPr>
          <w:rFonts w:ascii="新宋体" w:eastAsia="新宋体" w:hAnsi="新宋体" w:cs="新宋体" w:hint="eastAsia"/>
          <w:b/>
          <w:sz w:val="24"/>
          <w:szCs w:val="24"/>
        </w:rPr>
        <w:t>（二）“三公”经费财政拨款支出决算具体情况说明</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2017年度“三公”经费财政拨款支出决算中，无因公出国（境）费支出；无公务用车购置及运行维护费支出；公务接待费支出决算15.33万元。具体情况如下：</w:t>
      </w:r>
    </w:p>
    <w:p w:rsidR="0010674E" w:rsidRDefault="00026D7C">
      <w:pPr>
        <w:pStyle w:val="p0"/>
        <w:spacing w:line="360" w:lineRule="auto"/>
        <w:ind w:firstLineChars="200" w:firstLine="480"/>
        <w:rPr>
          <w:rFonts w:ascii="新宋体" w:eastAsia="新宋体" w:hAnsi="新宋体" w:cs="新宋体"/>
          <w:sz w:val="24"/>
        </w:rPr>
      </w:pPr>
      <w:r>
        <w:rPr>
          <w:rFonts w:ascii="新宋体" w:eastAsia="新宋体" w:hAnsi="新宋体" w:cs="新宋体"/>
          <w:noProof/>
          <w:sz w:val="24"/>
        </w:rPr>
        <w:lastRenderedPageBreak/>
        <w:drawing>
          <wp:inline distT="0" distB="0" distL="0" distR="0">
            <wp:extent cx="5076825" cy="3076575"/>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674E" w:rsidRDefault="00026D7C">
      <w:pPr>
        <w:pStyle w:val="p0"/>
        <w:spacing w:line="360" w:lineRule="auto"/>
        <w:ind w:firstLineChars="200" w:firstLine="480"/>
        <w:jc w:val="center"/>
        <w:rPr>
          <w:rFonts w:ascii="新宋体" w:eastAsia="新宋体" w:hAnsi="新宋体" w:cs="新宋体"/>
          <w:sz w:val="24"/>
        </w:rPr>
      </w:pPr>
      <w:r>
        <w:rPr>
          <w:rFonts w:ascii="新宋体" w:eastAsia="新宋体" w:hAnsi="新宋体" w:cs="新宋体" w:hint="eastAsia"/>
          <w:sz w:val="24"/>
        </w:rPr>
        <w:t>2017年“三公”经费财政拨款支出决算结构图</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1.因公出国（境）经费</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2017年无因公出国（境）费。</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2.公务用车购置及运行维护费</w:t>
      </w:r>
    </w:p>
    <w:p w:rsidR="0010674E" w:rsidRDefault="009C237A">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w:t>
      </w:r>
      <w:r w:rsidR="00026D7C">
        <w:rPr>
          <w:rFonts w:ascii="新宋体" w:eastAsia="新宋体" w:hAnsi="新宋体" w:cs="新宋体" w:hint="eastAsia"/>
          <w:sz w:val="24"/>
          <w:szCs w:val="24"/>
        </w:rPr>
        <w:t>无公务用车购置及运行维护费</w:t>
      </w:r>
      <w:r>
        <w:rPr>
          <w:rFonts w:ascii="新宋体" w:eastAsia="新宋体" w:hAnsi="新宋体" w:cs="新宋体" w:hint="eastAsia"/>
          <w:sz w:val="24"/>
          <w:szCs w:val="24"/>
        </w:rPr>
        <w:t>用</w:t>
      </w:r>
      <w:r w:rsidR="00026D7C">
        <w:rPr>
          <w:rFonts w:ascii="新宋体" w:eastAsia="新宋体" w:hAnsi="新宋体" w:cs="新宋体" w:hint="eastAsia"/>
          <w:sz w:val="24"/>
          <w:szCs w:val="24"/>
        </w:rPr>
        <w:t>。</w:t>
      </w:r>
      <w:r>
        <w:rPr>
          <w:rFonts w:ascii="新宋体" w:eastAsia="新宋体" w:hAnsi="新宋体" w:cs="新宋体" w:hint="eastAsia"/>
          <w:sz w:val="24"/>
          <w:szCs w:val="24"/>
        </w:rPr>
        <w:t>截止2017年12底，本单位无公务用车车辆。</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3.公务接待费</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公务接待费15.33万元。主要用于执行公务、开展业务活动、接待外县市党政代表团、招商引资等开支的交通费、住宿费、用餐费等。国内公务接待54批次,1348人，共计支出15.33万元，具体内容包括：接待外县市党政代表团考察交流、上级党委政府及主管部门检查考核、招商引资以及外宾等事项。</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八、政府性基金预算财政拨款支出情况</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市商旅局2017年政府性基金预算财政拨款支出35万元，比2016年下降5300万元，下降了99.34%。</w:t>
      </w:r>
    </w:p>
    <w:p w:rsidR="0010674E" w:rsidRDefault="00026D7C">
      <w:pPr>
        <w:spacing w:line="360" w:lineRule="auto"/>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九、国有资本经营预算支出决算情况说明</w:t>
      </w:r>
    </w:p>
    <w:p w:rsidR="0010674E" w:rsidRDefault="00026D7C">
      <w:pPr>
        <w:spacing w:line="360" w:lineRule="auto"/>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2017年度无国有资本经营预算拨款支出。</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lastRenderedPageBreak/>
        <w:t>十、其他重要事项的情况说明</w:t>
      </w:r>
    </w:p>
    <w:p w:rsidR="0010674E" w:rsidRDefault="00026D7C">
      <w:pPr>
        <w:pStyle w:val="p0"/>
        <w:spacing w:line="360" w:lineRule="auto"/>
        <w:ind w:firstLineChars="200" w:firstLine="482"/>
        <w:rPr>
          <w:rFonts w:ascii="新宋体" w:eastAsia="新宋体" w:hAnsi="新宋体" w:cs="新宋体"/>
          <w:b/>
          <w:sz w:val="24"/>
          <w:szCs w:val="24"/>
        </w:rPr>
      </w:pPr>
      <w:r>
        <w:rPr>
          <w:rFonts w:ascii="新宋体" w:eastAsia="新宋体" w:hAnsi="新宋体" w:cs="新宋体" w:hint="eastAsia"/>
          <w:b/>
          <w:sz w:val="24"/>
          <w:szCs w:val="24"/>
        </w:rPr>
        <w:t>（一）机关运行经费支出情况</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2017年度，商旅局运行经费支出72.95万元，比2016年增加4.87万元，增长7.3%。</w:t>
      </w:r>
    </w:p>
    <w:p w:rsidR="0010674E" w:rsidRDefault="00026D7C">
      <w:pPr>
        <w:pStyle w:val="p0"/>
        <w:spacing w:line="360" w:lineRule="auto"/>
        <w:ind w:firstLineChars="200" w:firstLine="482"/>
        <w:rPr>
          <w:rFonts w:ascii="新宋体" w:eastAsia="新宋体" w:hAnsi="新宋体" w:cs="新宋体"/>
          <w:b/>
          <w:sz w:val="24"/>
          <w:szCs w:val="24"/>
        </w:rPr>
      </w:pPr>
      <w:r>
        <w:rPr>
          <w:rFonts w:ascii="新宋体" w:eastAsia="新宋体" w:hAnsi="新宋体" w:cs="新宋体" w:hint="eastAsia"/>
          <w:b/>
          <w:sz w:val="24"/>
          <w:szCs w:val="24"/>
        </w:rPr>
        <w:t>（二）政府采购支出情况</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2017年度，市商旅局无政府采购支出。</w:t>
      </w:r>
    </w:p>
    <w:p w:rsidR="0010674E" w:rsidRDefault="00026D7C">
      <w:pPr>
        <w:pStyle w:val="p0"/>
        <w:spacing w:line="360" w:lineRule="auto"/>
        <w:ind w:firstLineChars="200" w:firstLine="482"/>
        <w:rPr>
          <w:rFonts w:ascii="新宋体" w:eastAsia="新宋体" w:hAnsi="新宋体" w:cs="新宋体"/>
          <w:b/>
          <w:sz w:val="24"/>
          <w:szCs w:val="24"/>
        </w:rPr>
      </w:pPr>
      <w:r>
        <w:rPr>
          <w:rFonts w:ascii="新宋体" w:eastAsia="新宋体" w:hAnsi="新宋体" w:cs="新宋体" w:hint="eastAsia"/>
          <w:b/>
          <w:sz w:val="24"/>
          <w:szCs w:val="24"/>
        </w:rPr>
        <w:t>（三）国有资产占有使用情况</w:t>
      </w:r>
    </w:p>
    <w:p w:rsidR="0010674E" w:rsidRDefault="00026D7C">
      <w:pPr>
        <w:pStyle w:val="p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截至2017年12月31日，市商旅局无公有车辆；无单价50万元以上通用设备，无单价100万元以上专用设备。</w:t>
      </w:r>
    </w:p>
    <w:p w:rsidR="0010674E" w:rsidRDefault="00026D7C">
      <w:pPr>
        <w:pStyle w:val="p0"/>
        <w:spacing w:line="360" w:lineRule="auto"/>
        <w:ind w:firstLineChars="200" w:firstLine="482"/>
        <w:rPr>
          <w:rFonts w:ascii="新宋体" w:eastAsia="新宋体" w:hAnsi="新宋体" w:cs="新宋体"/>
          <w:b/>
          <w:sz w:val="24"/>
          <w:szCs w:val="24"/>
        </w:rPr>
      </w:pPr>
      <w:r>
        <w:rPr>
          <w:rFonts w:ascii="新宋体" w:eastAsia="新宋体" w:hAnsi="新宋体" w:cs="新宋体" w:hint="eastAsia"/>
          <w:b/>
          <w:sz w:val="24"/>
          <w:szCs w:val="24"/>
        </w:rPr>
        <w:t>（四）预算绩效情况</w:t>
      </w:r>
    </w:p>
    <w:p w:rsidR="0010674E" w:rsidRDefault="00026D7C">
      <w:pPr>
        <w:pStyle w:val="p0"/>
        <w:spacing w:line="360" w:lineRule="auto"/>
        <w:ind w:firstLineChars="200" w:firstLine="480"/>
        <w:rPr>
          <w:rFonts w:ascii="新宋体" w:eastAsia="新宋体" w:hAnsi="新宋体" w:cs="新宋体"/>
          <w:color w:val="000000"/>
          <w:sz w:val="24"/>
          <w:szCs w:val="24"/>
        </w:rPr>
      </w:pPr>
      <w:r>
        <w:rPr>
          <w:rFonts w:ascii="新宋体" w:eastAsia="新宋体" w:hAnsi="新宋体" w:cs="新宋体" w:hint="eastAsia"/>
          <w:color w:val="000000"/>
          <w:sz w:val="24"/>
          <w:szCs w:val="24"/>
        </w:rPr>
        <w:t>1.绩效目标管理情况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按照预算绩效管理要求，本部门对2017年一般公共预算项目支出开展了绩效目标管理，共编制绩效目标15个，涉及财政资金405.69万元，覆盖率达到100%。</w:t>
      </w:r>
    </w:p>
    <w:p w:rsidR="0010674E" w:rsidRDefault="00026D7C">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2.部门整体支出绩效自评开展情况。</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 xml:space="preserve"> 按照预算绩效管理要求，本部门对2017年整体支出开展了绩效自评，自查自评结果良好，全年基本支出保证了部门的正常运行和日常工作的正常开展，项目支出保障了重点工作的开展，达到预期绩效目标。自评得分98.84分。存在的问题：内控信息化</w:t>
      </w:r>
      <w:r w:rsidR="00E00E2F">
        <w:rPr>
          <w:rFonts w:ascii="新宋体" w:eastAsia="新宋体" w:hAnsi="新宋体" w:cs="新宋体" w:hint="eastAsia"/>
          <w:sz w:val="24"/>
        </w:rPr>
        <w:t>建设不够完善。下一步改进措施：一是在完善内控制度工作基础上，我局</w:t>
      </w:r>
      <w:r>
        <w:rPr>
          <w:rFonts w:ascii="新宋体" w:eastAsia="新宋体" w:hAnsi="新宋体" w:cs="新宋体" w:hint="eastAsia"/>
          <w:sz w:val="24"/>
        </w:rPr>
        <w:t>将进一步加强内控信息化建设，采取“分期建设、分步推进”的方式，覆盖内控重点环节。二是梳理细化工作流程及风险点，将各项财经法律、法规以及中央、省</w:t>
      </w:r>
      <w:r w:rsidR="00E00E2F">
        <w:rPr>
          <w:rFonts w:ascii="新宋体" w:eastAsia="新宋体" w:hAnsi="新宋体" w:cs="新宋体" w:hint="eastAsia"/>
          <w:sz w:val="24"/>
        </w:rPr>
        <w:t>、市</w:t>
      </w:r>
      <w:r>
        <w:rPr>
          <w:rFonts w:ascii="新宋体" w:eastAsia="新宋体" w:hAnsi="新宋体" w:cs="新宋体" w:hint="eastAsia"/>
          <w:sz w:val="24"/>
        </w:rPr>
        <w:t>各项规章制度与经费支出衔接，实现提前预设标准、范围，做到提前预警控制。三是强化内控信息化数据分析，发挥信息化管理数据分析优势，并将内控分析结果运用于预算安排、绩效目标编报、资产配置管理等方面。</w:t>
      </w:r>
    </w:p>
    <w:p w:rsidR="0010674E" w:rsidRDefault="0010674E">
      <w:pPr>
        <w:spacing w:line="360" w:lineRule="auto"/>
        <w:ind w:firstLineChars="200" w:firstLine="480"/>
        <w:rPr>
          <w:rFonts w:ascii="新宋体" w:eastAsia="新宋体" w:hAnsi="新宋体" w:cs="新宋体"/>
          <w:sz w:val="24"/>
        </w:rPr>
      </w:pPr>
    </w:p>
    <w:p w:rsidR="0010674E" w:rsidRDefault="0010674E">
      <w:pPr>
        <w:spacing w:line="360" w:lineRule="auto"/>
        <w:ind w:firstLineChars="200" w:firstLine="480"/>
        <w:rPr>
          <w:rFonts w:ascii="新宋体" w:eastAsia="新宋体" w:hAnsi="新宋体" w:cs="新宋体"/>
          <w:sz w:val="24"/>
        </w:rPr>
      </w:pPr>
    </w:p>
    <w:p w:rsidR="0010674E" w:rsidRDefault="0010674E">
      <w:pPr>
        <w:spacing w:line="360" w:lineRule="auto"/>
        <w:ind w:firstLineChars="200" w:firstLine="480"/>
        <w:rPr>
          <w:rFonts w:ascii="新宋体" w:eastAsia="新宋体" w:hAnsi="新宋体" w:cs="新宋体"/>
          <w:sz w:val="24"/>
        </w:rPr>
      </w:pPr>
    </w:p>
    <w:p w:rsidR="0010674E" w:rsidRDefault="0010674E">
      <w:pPr>
        <w:spacing w:line="360" w:lineRule="auto"/>
        <w:ind w:firstLineChars="200" w:firstLine="480"/>
        <w:rPr>
          <w:rFonts w:ascii="新宋体" w:eastAsia="新宋体" w:hAnsi="新宋体" w:cs="新宋体"/>
          <w:color w:val="000000"/>
          <w:sz w:val="24"/>
        </w:rPr>
      </w:pPr>
    </w:p>
    <w:p w:rsidR="0010674E" w:rsidRDefault="00026D7C">
      <w:pPr>
        <w:spacing w:line="360" w:lineRule="auto"/>
        <w:jc w:val="center"/>
        <w:rPr>
          <w:rFonts w:ascii="新宋体" w:eastAsia="新宋体" w:hAnsi="新宋体" w:cs="新宋体"/>
          <w:color w:val="000000"/>
          <w:sz w:val="24"/>
        </w:rPr>
      </w:pPr>
      <w:r>
        <w:rPr>
          <w:rFonts w:ascii="新宋体" w:eastAsia="新宋体" w:hAnsi="新宋体" w:cs="新宋体" w:hint="eastAsia"/>
          <w:color w:val="000000"/>
          <w:sz w:val="24"/>
        </w:rPr>
        <w:t>2017年部门整体支出绩效评价得分表</w:t>
      </w:r>
    </w:p>
    <w:tbl>
      <w:tblPr>
        <w:tblW w:w="9498" w:type="dxa"/>
        <w:tblInd w:w="-176" w:type="dxa"/>
        <w:tblLayout w:type="fixed"/>
        <w:tblLook w:val="04A0"/>
      </w:tblPr>
      <w:tblGrid>
        <w:gridCol w:w="1702"/>
        <w:gridCol w:w="2268"/>
        <w:gridCol w:w="3402"/>
        <w:gridCol w:w="2126"/>
      </w:tblGrid>
      <w:tr w:rsidR="0010674E">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lastRenderedPageBreak/>
              <w:t>一级指标</w:t>
            </w:r>
          </w:p>
        </w:tc>
        <w:tc>
          <w:tcPr>
            <w:tcW w:w="2268" w:type="dxa"/>
            <w:tcBorders>
              <w:top w:val="single" w:sz="4" w:space="0" w:color="auto"/>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3402" w:type="dxa"/>
            <w:tcBorders>
              <w:top w:val="single" w:sz="4" w:space="0" w:color="auto"/>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三级指标</w:t>
            </w:r>
          </w:p>
        </w:tc>
        <w:tc>
          <w:tcPr>
            <w:tcW w:w="2126" w:type="dxa"/>
            <w:tcBorders>
              <w:top w:val="single" w:sz="4" w:space="0" w:color="auto"/>
              <w:left w:val="nil"/>
              <w:bottom w:val="single" w:sz="4" w:space="0" w:color="auto"/>
              <w:right w:val="single" w:sz="4" w:space="0" w:color="auto"/>
            </w:tcBorders>
          </w:tcPr>
          <w:p w:rsidR="0010674E" w:rsidRDefault="00026D7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得分</w:t>
            </w:r>
          </w:p>
        </w:tc>
      </w:tr>
      <w:tr w:rsidR="0010674E">
        <w:trPr>
          <w:trHeight w:val="520"/>
        </w:trPr>
        <w:tc>
          <w:tcPr>
            <w:tcW w:w="1702" w:type="dxa"/>
            <w:vMerge w:val="restart"/>
            <w:tcBorders>
              <w:top w:val="nil"/>
              <w:left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部门决策（25分）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目标任务（15分）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相关性（5分）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413"/>
        </w:trPr>
        <w:tc>
          <w:tcPr>
            <w:tcW w:w="1702" w:type="dxa"/>
            <w:vMerge/>
            <w:tcBorders>
              <w:left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明确性（5分）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420"/>
        </w:trPr>
        <w:tc>
          <w:tcPr>
            <w:tcW w:w="1702" w:type="dxa"/>
            <w:vMerge/>
            <w:tcBorders>
              <w:left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合理性（5分）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269"/>
        </w:trPr>
        <w:tc>
          <w:tcPr>
            <w:tcW w:w="1702" w:type="dxa"/>
            <w:vMerge/>
            <w:tcBorders>
              <w:left w:val="single" w:sz="4" w:space="0" w:color="auto"/>
              <w:right w:val="single" w:sz="4" w:space="0" w:color="auto"/>
            </w:tcBorders>
            <w:shd w:val="clear" w:color="auto" w:fill="auto"/>
            <w:vAlign w:val="center"/>
          </w:tcPr>
          <w:p w:rsidR="0010674E" w:rsidRDefault="0010674E">
            <w:pPr>
              <w:widowControl/>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预算编制（10分）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测算依据（5分）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231"/>
        </w:trPr>
        <w:tc>
          <w:tcPr>
            <w:tcW w:w="1702" w:type="dxa"/>
            <w:vMerge/>
            <w:tcBorders>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目标管理（5分）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477"/>
        </w:trPr>
        <w:tc>
          <w:tcPr>
            <w:tcW w:w="1702" w:type="dxa"/>
            <w:vMerge w:val="restart"/>
            <w:tcBorders>
              <w:top w:val="nil"/>
              <w:left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综合管理（30分）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专项资金分配时限（2分）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省级财力专项预算分配时限（1分）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不适用</w:t>
            </w:r>
          </w:p>
        </w:tc>
      </w:tr>
      <w:tr w:rsidR="0010674E">
        <w:trPr>
          <w:trHeight w:val="413"/>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中央专款分配合规率（1分）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1分</w:t>
            </w:r>
          </w:p>
        </w:tc>
      </w:tr>
      <w:tr w:rsidR="0010674E">
        <w:trPr>
          <w:trHeight w:val="277"/>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中期评估（2分）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执行中期评估（2分）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381"/>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绩效监控（5分）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预算执行进度监控（2分）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1.17分</w:t>
            </w:r>
          </w:p>
        </w:tc>
      </w:tr>
      <w:tr w:rsidR="0010674E">
        <w:trPr>
          <w:trHeight w:val="273"/>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绩效目标动态监控（3分）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1.67分</w:t>
            </w:r>
          </w:p>
        </w:tc>
      </w:tr>
      <w:tr w:rsidR="0010674E">
        <w:trPr>
          <w:trHeight w:val="235"/>
        </w:trPr>
        <w:tc>
          <w:tcPr>
            <w:tcW w:w="1702" w:type="dxa"/>
            <w:vMerge/>
            <w:tcBorders>
              <w:left w:val="single" w:sz="4" w:space="0" w:color="auto"/>
              <w:right w:val="single" w:sz="4" w:space="0" w:color="auto"/>
            </w:tcBorders>
            <w:shd w:val="clear" w:color="auto" w:fill="auto"/>
            <w:vAlign w:val="center"/>
          </w:tcPr>
          <w:p w:rsidR="0010674E" w:rsidRDefault="0010674E">
            <w:pPr>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非税收入执收情况（2分）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非税收入征收情况（1分）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无非税收入</w:t>
            </w:r>
          </w:p>
        </w:tc>
      </w:tr>
      <w:tr w:rsidR="0010674E">
        <w:trPr>
          <w:trHeight w:val="325"/>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非税收入上缴情况（1分）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无非税收入</w:t>
            </w:r>
          </w:p>
        </w:tc>
      </w:tr>
      <w:tr w:rsidR="0010674E">
        <w:trPr>
          <w:trHeight w:val="287"/>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资产管理（6分）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资产管理信息化情况（2分）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235"/>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行政事业单位资产报告情况（2分）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353"/>
        </w:trPr>
        <w:tc>
          <w:tcPr>
            <w:tcW w:w="1702" w:type="dxa"/>
            <w:vMerge/>
            <w:tcBorders>
              <w:left w:val="single" w:sz="4" w:space="0" w:color="auto"/>
              <w:right w:val="single" w:sz="4" w:space="0" w:color="auto"/>
            </w:tcBorders>
            <w:vAlign w:val="center"/>
          </w:tcPr>
          <w:p w:rsidR="0010674E" w:rsidRDefault="0010674E">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资产管理与预算管理相结合（2分）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272"/>
        </w:trPr>
        <w:tc>
          <w:tcPr>
            <w:tcW w:w="1702" w:type="dxa"/>
            <w:vMerge/>
            <w:tcBorders>
              <w:left w:val="single" w:sz="4" w:space="0" w:color="auto"/>
              <w:right w:val="single" w:sz="4" w:space="0" w:color="auto"/>
            </w:tcBorders>
            <w:shd w:val="clear" w:color="auto" w:fill="auto"/>
            <w:vAlign w:val="center"/>
          </w:tcPr>
          <w:p w:rsidR="0010674E" w:rsidRDefault="0010674E">
            <w:pPr>
              <w:widowControl/>
              <w:jc w:val="center"/>
              <w:rPr>
                <w:rFonts w:ascii="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内控制度管理（2分）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内部控制度健全完整（2分）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221"/>
        </w:trPr>
        <w:tc>
          <w:tcPr>
            <w:tcW w:w="1702" w:type="dxa"/>
            <w:vMerge/>
            <w:tcBorders>
              <w:left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信息公开（6分）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预算公开（2分）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197"/>
        </w:trPr>
        <w:tc>
          <w:tcPr>
            <w:tcW w:w="1702" w:type="dxa"/>
            <w:vMerge/>
            <w:tcBorders>
              <w:left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决算公开（2分）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287"/>
        </w:trPr>
        <w:tc>
          <w:tcPr>
            <w:tcW w:w="1702" w:type="dxa"/>
            <w:vMerge/>
            <w:tcBorders>
              <w:left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绩效信息公开（2分）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405"/>
        </w:trPr>
        <w:tc>
          <w:tcPr>
            <w:tcW w:w="1702" w:type="dxa"/>
            <w:vMerge/>
            <w:tcBorders>
              <w:left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绩效评价（5分）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绩效评价开展（2分）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2分</w:t>
            </w:r>
          </w:p>
        </w:tc>
      </w:tr>
      <w:tr w:rsidR="0010674E">
        <w:trPr>
          <w:trHeight w:val="127"/>
        </w:trPr>
        <w:tc>
          <w:tcPr>
            <w:tcW w:w="1702" w:type="dxa"/>
            <w:vMerge/>
            <w:tcBorders>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评价结果应用（3分）</w:t>
            </w:r>
          </w:p>
        </w:tc>
        <w:tc>
          <w:tcPr>
            <w:tcW w:w="2126" w:type="dxa"/>
            <w:tcBorders>
              <w:top w:val="nil"/>
              <w:left w:val="nil"/>
              <w:bottom w:val="single" w:sz="4" w:space="0" w:color="auto"/>
              <w:right w:val="single" w:sz="4" w:space="0" w:color="auto"/>
            </w:tcBorders>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3分</w:t>
            </w:r>
          </w:p>
        </w:tc>
      </w:tr>
      <w:tr w:rsidR="0010674E">
        <w:trPr>
          <w:trHeight w:val="231"/>
        </w:trPr>
        <w:tc>
          <w:tcPr>
            <w:tcW w:w="1702" w:type="dxa"/>
            <w:vMerge w:val="restart"/>
            <w:tcBorders>
              <w:top w:val="nil"/>
              <w:left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部门绩效情况（45分）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履职成效（20分）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部门特性指标</w:t>
            </w:r>
          </w:p>
        </w:tc>
        <w:tc>
          <w:tcPr>
            <w:tcW w:w="2126" w:type="dxa"/>
            <w:tcBorders>
              <w:top w:val="nil"/>
              <w:left w:val="nil"/>
              <w:bottom w:val="single" w:sz="4" w:space="0" w:color="auto"/>
              <w:right w:val="single" w:sz="4" w:space="0" w:color="auto"/>
            </w:tcBorders>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20分</w:t>
            </w:r>
          </w:p>
        </w:tc>
      </w:tr>
      <w:tr w:rsidR="0010674E">
        <w:trPr>
          <w:trHeight w:val="180"/>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10674E">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tcPr>
          <w:p w:rsidR="0010674E" w:rsidRDefault="0010674E">
            <w:pPr>
              <w:widowControl/>
              <w:jc w:val="center"/>
              <w:rPr>
                <w:rFonts w:ascii="宋体" w:hAnsi="宋体" w:cs="宋体"/>
                <w:color w:val="000000"/>
                <w:kern w:val="0"/>
                <w:sz w:val="20"/>
                <w:szCs w:val="20"/>
              </w:rPr>
            </w:pPr>
          </w:p>
        </w:tc>
      </w:tr>
      <w:tr w:rsidR="0010674E">
        <w:trPr>
          <w:trHeight w:val="240"/>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10674E">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tcPr>
          <w:p w:rsidR="0010674E" w:rsidRDefault="0010674E">
            <w:pPr>
              <w:widowControl/>
              <w:jc w:val="center"/>
              <w:rPr>
                <w:rFonts w:ascii="宋体" w:hAnsi="宋体" w:cs="宋体"/>
                <w:color w:val="000000"/>
                <w:kern w:val="0"/>
                <w:sz w:val="20"/>
                <w:szCs w:val="20"/>
              </w:rPr>
            </w:pPr>
          </w:p>
        </w:tc>
      </w:tr>
      <w:tr w:rsidR="0010674E">
        <w:trPr>
          <w:trHeight w:val="240"/>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10674E">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tcPr>
          <w:p w:rsidR="0010674E" w:rsidRDefault="0010674E">
            <w:pPr>
              <w:widowControl/>
              <w:jc w:val="center"/>
              <w:rPr>
                <w:rFonts w:ascii="宋体" w:hAnsi="宋体" w:cs="宋体"/>
                <w:color w:val="000000"/>
                <w:kern w:val="0"/>
                <w:sz w:val="20"/>
                <w:szCs w:val="20"/>
              </w:rPr>
            </w:pPr>
          </w:p>
        </w:tc>
      </w:tr>
      <w:tr w:rsidR="0010674E">
        <w:trPr>
          <w:trHeight w:val="157"/>
        </w:trPr>
        <w:tc>
          <w:tcPr>
            <w:tcW w:w="1702" w:type="dxa"/>
            <w:vMerge/>
            <w:tcBorders>
              <w:left w:val="single" w:sz="4" w:space="0" w:color="auto"/>
              <w:right w:val="single" w:sz="4" w:space="0" w:color="auto"/>
            </w:tcBorders>
            <w:shd w:val="clear" w:color="auto" w:fill="auto"/>
            <w:vAlign w:val="center"/>
          </w:tcPr>
          <w:p w:rsidR="0010674E" w:rsidRDefault="0010674E">
            <w:pPr>
              <w:jc w:val="left"/>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10674E" w:rsidRDefault="00026D7C">
            <w:pPr>
              <w:widowControl/>
              <w:jc w:val="left"/>
              <w:rPr>
                <w:rFonts w:ascii="宋体" w:hAnsi="宋体" w:cs="宋体"/>
                <w:color w:val="000000"/>
                <w:kern w:val="0"/>
                <w:sz w:val="20"/>
                <w:szCs w:val="20"/>
              </w:rPr>
            </w:pPr>
            <w:r>
              <w:rPr>
                <w:rFonts w:ascii="宋体" w:hAnsi="宋体" w:cs="宋体" w:hint="eastAsia"/>
                <w:color w:val="000000"/>
                <w:kern w:val="0"/>
                <w:sz w:val="20"/>
                <w:szCs w:val="20"/>
              </w:rPr>
              <w:t>可持续发展能力（15分）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重点改革（重点工作）完成情况（5分）</w:t>
            </w:r>
          </w:p>
        </w:tc>
        <w:tc>
          <w:tcPr>
            <w:tcW w:w="2126" w:type="dxa"/>
            <w:tcBorders>
              <w:top w:val="nil"/>
              <w:left w:val="nil"/>
              <w:bottom w:val="single" w:sz="4" w:space="0" w:color="auto"/>
              <w:right w:val="single" w:sz="4" w:space="0" w:color="auto"/>
            </w:tcBorders>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320"/>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科技（制度、方法、机制等）创新（5分）</w:t>
            </w:r>
          </w:p>
        </w:tc>
        <w:tc>
          <w:tcPr>
            <w:tcW w:w="2126" w:type="dxa"/>
            <w:tcBorders>
              <w:top w:val="nil"/>
              <w:left w:val="nil"/>
              <w:bottom w:val="single" w:sz="4" w:space="0" w:color="auto"/>
              <w:right w:val="single" w:sz="4" w:space="0" w:color="auto"/>
            </w:tcBorders>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385"/>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人才培养（5分）</w:t>
            </w:r>
          </w:p>
        </w:tc>
        <w:tc>
          <w:tcPr>
            <w:tcW w:w="2126" w:type="dxa"/>
            <w:tcBorders>
              <w:top w:val="nil"/>
              <w:left w:val="nil"/>
              <w:bottom w:val="single" w:sz="4" w:space="0" w:color="auto"/>
              <w:right w:val="single" w:sz="4" w:space="0" w:color="auto"/>
            </w:tcBorders>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10674E">
        <w:trPr>
          <w:trHeight w:val="432"/>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val="restart"/>
            <w:tcBorders>
              <w:top w:val="nil"/>
              <w:left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满意度（10分）</w:t>
            </w: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协作部门满意度（3分）</w:t>
            </w:r>
          </w:p>
        </w:tc>
        <w:tc>
          <w:tcPr>
            <w:tcW w:w="2126" w:type="dxa"/>
            <w:tcBorders>
              <w:top w:val="nil"/>
              <w:left w:val="nil"/>
              <w:bottom w:val="single" w:sz="4" w:space="0" w:color="auto"/>
              <w:right w:val="single" w:sz="4" w:space="0" w:color="auto"/>
            </w:tcBorders>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3分</w:t>
            </w:r>
          </w:p>
        </w:tc>
      </w:tr>
      <w:tr w:rsidR="0010674E">
        <w:trPr>
          <w:trHeight w:val="396"/>
        </w:trPr>
        <w:tc>
          <w:tcPr>
            <w:tcW w:w="1702"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2268" w:type="dxa"/>
            <w:vMerge/>
            <w:tcBorders>
              <w:left w:val="single" w:sz="4" w:space="0" w:color="auto"/>
              <w:right w:val="single" w:sz="4" w:space="0" w:color="auto"/>
            </w:tcBorders>
            <w:vAlign w:val="center"/>
          </w:tcPr>
          <w:p w:rsidR="0010674E" w:rsidRDefault="0010674E">
            <w:pPr>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管理对象满意度（3分）</w:t>
            </w:r>
          </w:p>
        </w:tc>
        <w:tc>
          <w:tcPr>
            <w:tcW w:w="2126" w:type="dxa"/>
            <w:tcBorders>
              <w:top w:val="nil"/>
              <w:left w:val="nil"/>
              <w:bottom w:val="single" w:sz="4" w:space="0" w:color="auto"/>
              <w:right w:val="single" w:sz="4" w:space="0" w:color="auto"/>
            </w:tcBorders>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3分</w:t>
            </w:r>
          </w:p>
        </w:tc>
      </w:tr>
      <w:tr w:rsidR="0010674E">
        <w:trPr>
          <w:trHeight w:val="411"/>
        </w:trPr>
        <w:tc>
          <w:tcPr>
            <w:tcW w:w="1702" w:type="dxa"/>
            <w:vMerge/>
            <w:tcBorders>
              <w:left w:val="single" w:sz="4" w:space="0" w:color="auto"/>
              <w:bottom w:val="single" w:sz="4" w:space="0" w:color="auto"/>
              <w:right w:val="single" w:sz="4" w:space="0" w:color="auto"/>
            </w:tcBorders>
            <w:shd w:val="clear" w:color="auto" w:fill="auto"/>
            <w:vAlign w:val="center"/>
          </w:tcPr>
          <w:p w:rsidR="0010674E" w:rsidRDefault="0010674E">
            <w:pPr>
              <w:widowControl/>
              <w:jc w:val="left"/>
              <w:rPr>
                <w:rFonts w:ascii="宋体" w:hAnsi="宋体" w:cs="宋体"/>
                <w:color w:val="000000"/>
                <w:kern w:val="0"/>
                <w:sz w:val="20"/>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10674E" w:rsidRDefault="0010674E">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10674E" w:rsidRDefault="00026D7C">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社会公众满意度（4分）</w:t>
            </w:r>
          </w:p>
        </w:tc>
        <w:tc>
          <w:tcPr>
            <w:tcW w:w="2126" w:type="dxa"/>
            <w:tcBorders>
              <w:top w:val="nil"/>
              <w:left w:val="nil"/>
              <w:bottom w:val="single" w:sz="4" w:space="0" w:color="auto"/>
              <w:right w:val="single" w:sz="4" w:space="0" w:color="auto"/>
            </w:tcBorders>
          </w:tcPr>
          <w:p w:rsidR="0010674E" w:rsidRDefault="00BC153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sidR="00026D7C">
              <w:rPr>
                <w:rFonts w:ascii="宋体" w:hAnsi="宋体" w:cs="宋体" w:hint="eastAsia"/>
                <w:color w:val="000000"/>
                <w:kern w:val="0"/>
                <w:sz w:val="20"/>
                <w:szCs w:val="20"/>
              </w:rPr>
              <w:t>分</w:t>
            </w:r>
          </w:p>
        </w:tc>
      </w:tr>
    </w:tbl>
    <w:p w:rsidR="0010674E" w:rsidRDefault="0010674E">
      <w:pPr>
        <w:rPr>
          <w:color w:val="000000"/>
        </w:rPr>
      </w:pPr>
    </w:p>
    <w:p w:rsidR="00F93469" w:rsidRDefault="00F93469" w:rsidP="00F93469">
      <w:pPr>
        <w:pStyle w:val="p0"/>
        <w:spacing w:line="360" w:lineRule="auto"/>
        <w:ind w:firstLineChars="150" w:firstLine="360"/>
        <w:rPr>
          <w:rFonts w:ascii="新宋体" w:eastAsia="新宋体" w:hAnsi="新宋体"/>
          <w:sz w:val="24"/>
          <w:szCs w:val="24"/>
        </w:rPr>
      </w:pPr>
      <w:r w:rsidRPr="00F93469">
        <w:rPr>
          <w:rFonts w:ascii="新宋体" w:eastAsia="新宋体" w:hAnsi="新宋体" w:hint="eastAsia"/>
          <w:sz w:val="24"/>
          <w:szCs w:val="24"/>
        </w:rPr>
        <w:lastRenderedPageBreak/>
        <w:t>3.</w:t>
      </w:r>
      <w:r>
        <w:rPr>
          <w:rFonts w:ascii="新宋体" w:eastAsia="新宋体" w:hAnsi="新宋体" w:hint="eastAsia"/>
          <w:sz w:val="24"/>
          <w:szCs w:val="24"/>
        </w:rPr>
        <w:t>部门自行组织绩效评价开展情况</w:t>
      </w:r>
      <w:r w:rsidRPr="00F93469">
        <w:rPr>
          <w:rFonts w:ascii="新宋体" w:eastAsia="新宋体" w:hAnsi="新宋体" w:hint="eastAsia"/>
          <w:sz w:val="24"/>
          <w:szCs w:val="24"/>
        </w:rPr>
        <w:t>。</w:t>
      </w:r>
    </w:p>
    <w:p w:rsidR="00F93469" w:rsidRPr="00F93469" w:rsidRDefault="00F93469" w:rsidP="00F93469">
      <w:pPr>
        <w:pStyle w:val="p0"/>
        <w:spacing w:line="360" w:lineRule="auto"/>
        <w:ind w:firstLineChars="150" w:firstLine="360"/>
        <w:rPr>
          <w:rFonts w:ascii="新宋体" w:eastAsia="新宋体" w:hAnsi="新宋体"/>
          <w:sz w:val="24"/>
          <w:szCs w:val="24"/>
        </w:rPr>
      </w:pPr>
      <w:r>
        <w:rPr>
          <w:rFonts w:ascii="新宋体" w:eastAsia="新宋体" w:hAnsi="新宋体" w:hint="eastAsia"/>
          <w:sz w:val="24"/>
          <w:szCs w:val="24"/>
        </w:rPr>
        <w:t>2017年度无绩效评价项目。</w:t>
      </w:r>
    </w:p>
    <w:p w:rsidR="0010674E" w:rsidRDefault="00026D7C">
      <w:pPr>
        <w:pStyle w:val="p0"/>
        <w:spacing w:line="360" w:lineRule="auto"/>
        <w:ind w:firstLineChars="150" w:firstLine="480"/>
        <w:rPr>
          <w:rFonts w:ascii="黑体" w:eastAsia="黑体" w:hAnsi="新宋体"/>
          <w:sz w:val="32"/>
          <w:szCs w:val="32"/>
        </w:rPr>
      </w:pPr>
      <w:r>
        <w:rPr>
          <w:rFonts w:ascii="黑体" w:eastAsia="黑体" w:hAnsi="新宋体" w:hint="eastAsia"/>
          <w:sz w:val="32"/>
          <w:szCs w:val="32"/>
        </w:rPr>
        <w:t>十一、名词解释</w:t>
      </w:r>
    </w:p>
    <w:p w:rsidR="0010674E" w:rsidRDefault="00026D7C">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1.财政拨款收入：指江油市本级财政当年拨付的资金。</w:t>
      </w:r>
    </w:p>
    <w:p w:rsidR="0010674E" w:rsidRDefault="00026D7C">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2.年初结转和结余：指以前年度尚未完成，结转到本年按有关规定继续使用的资金。</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3.一般公共服务支出（类）商贸事务（款）行政运行（项）：指市商旅局用于保障机构正常运行、开展日常工作的基本支出。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4. 一般公共服务支出（类）商贸事务（款）一般行政管理事务（项）：指市商旅局开展综合业务未单独设置项级科目的专门性行政管理工作的项目支出。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5. 一般公共服务支出（类）商贸事务（款）其他商贸事务支出（项）：指市商旅局用于 “黄标车”提前淘汰补贴发放资金。</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6.教育支出（类）进修及培训（款）培训支出（项）：指市商旅局用于干部职工培训的支出。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7. 社会保障和就业支出（类）行政事业单位离退休（款）归口管理的行政单位离退休（项）：指用于商旅局离休人员福利费及离休金发放资金。</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8. 社会保障和就业支出（类）行政事业单位离退休（款）事业单位离退休（项）：指用于市商旅局退休人员福利费及生活补助发放资金。</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11.社会保障和就业支出（类）行政事业单位离退休（款）机关事业单位基本养老保险缴费支出（项）： 指市商旅局实施养老保险制度由单位缴纳的养老保险费的支出。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12. 社会保障和就业支出（类）抚恤（款）死亡抚恤（项）：指市商旅局用于发放病故人员遗属定期抚恤金的支出。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13.医疗卫生与计划生育支出（类）医疗保障（款）行政单位医疗（项）：指市商旅局用于缴纳单位基本医疗保险费的支出。</w:t>
      </w:r>
    </w:p>
    <w:p w:rsidR="0010674E" w:rsidRDefault="00026D7C">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14.医疗卫生与计划生育支出（类）医疗保障（款）事业单位医疗（项）： 指市商旅局用于缴纳下属事业单位基本医疗保险费的支出。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15.商业服务业等支出（类）商业流通事务（款）其他商业流通事务支出（项）：指市商旅局用于内贸流通服务业及电子商务发展支出。</w:t>
      </w:r>
    </w:p>
    <w:p w:rsidR="0010674E" w:rsidRDefault="00026D7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16.商业服务业等支出（类）旅游管理与服务支出（款）其他旅游管理与服务支出（项）：指市商旅局用于智慧旅游电子商务平台及智慧旅游网络系统维护及旅游宣传营销经费支出。</w:t>
      </w:r>
    </w:p>
    <w:p w:rsidR="0010674E" w:rsidRDefault="00026D7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 xml:space="preserve"> 17.年末结转和结余：指本年度或以前年度预算安排，因客观条件发生变化无法按原计划实施，需延迟到以后年度按有关规定继续使用的资金。</w:t>
      </w:r>
    </w:p>
    <w:p w:rsidR="0010674E" w:rsidRDefault="00026D7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18.基本支出：指为保障机构正常运转、完成日常工作任务而发生的人员支出和公用支出。</w:t>
      </w:r>
    </w:p>
    <w:p w:rsidR="0010674E" w:rsidRDefault="00026D7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19.项目支出：指在基本支出之外为完成特定行政任务和事业发展目标所发生的支出。</w:t>
      </w:r>
    </w:p>
    <w:p w:rsidR="0010674E" w:rsidRDefault="00026D7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20.“三公”经费：纳入市级财政预决算管理的“三公”经费，是指部门用财政拨款安排的因公出国（境）费、公务用车购置及运行费和公务接待费。其中：因公出国（境）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0674E" w:rsidRDefault="00026D7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21.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10674E" w:rsidRDefault="0010674E">
      <w:pPr>
        <w:pStyle w:val="p0"/>
        <w:spacing w:line="360" w:lineRule="auto"/>
        <w:ind w:firstLineChars="200" w:firstLine="480"/>
        <w:rPr>
          <w:rFonts w:ascii="新宋体" w:eastAsia="新宋体" w:hAnsi="新宋体"/>
          <w:sz w:val="24"/>
          <w:szCs w:val="24"/>
        </w:rPr>
      </w:pPr>
      <w:bookmarkStart w:id="0" w:name="_GoBack"/>
      <w:bookmarkEnd w:id="0"/>
    </w:p>
    <w:sectPr w:rsidR="0010674E" w:rsidSect="0010674E">
      <w:footerReference w:type="default" r:id="rId14"/>
      <w:pgSz w:w="11906" w:h="16838"/>
      <w:pgMar w:top="2098" w:right="1247" w:bottom="187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9A" w:rsidRDefault="0053749A" w:rsidP="0010674E">
      <w:r>
        <w:separator/>
      </w:r>
    </w:p>
  </w:endnote>
  <w:endnote w:type="continuationSeparator" w:id="1">
    <w:p w:rsidR="0053749A" w:rsidRDefault="0053749A" w:rsidP="00106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4E" w:rsidRDefault="00C41A2E">
    <w:pPr>
      <w:pStyle w:val="a4"/>
    </w:pPr>
    <w:r>
      <w:pict>
        <v:shapetype id="_x0000_t202" coordsize="21600,21600" o:spt="202" path="m,l,21600r21600,l21600,xe">
          <v:stroke joinstyle="miter"/>
          <v:path gradientshapeok="t" o:connecttype="rect"/>
        </v:shapetype>
        <v:shape id="_x0000_s2049" type="#_x0000_t202" style="position:absolute;margin-left:520pt;margin-top:0;width:2in;height:2in;z-index:251658240;mso-wrap-style:none;mso-position-horizontal:outside;mso-position-horizontal-relative:margin" filled="f" stroked="f">
          <v:textbox style="mso-fit-shape-to-text:t" inset="0,0,0,0">
            <w:txbxContent>
              <w:p w:rsidR="0010674E" w:rsidRDefault="00C41A2E">
                <w:pPr>
                  <w:pStyle w:val="a4"/>
                </w:pPr>
                <w:r>
                  <w:rPr>
                    <w:rFonts w:hint="eastAsia"/>
                  </w:rPr>
                  <w:fldChar w:fldCharType="begin"/>
                </w:r>
                <w:r w:rsidR="00026D7C">
                  <w:rPr>
                    <w:rFonts w:hint="eastAsia"/>
                  </w:rPr>
                  <w:instrText xml:space="preserve"> PAGE  \* MERGEFORMAT </w:instrText>
                </w:r>
                <w:r>
                  <w:rPr>
                    <w:rFonts w:hint="eastAsia"/>
                  </w:rPr>
                  <w:fldChar w:fldCharType="separate"/>
                </w:r>
                <w:r w:rsidR="00AB3ECF">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9A" w:rsidRDefault="0053749A" w:rsidP="0010674E">
      <w:r>
        <w:separator/>
      </w:r>
    </w:p>
  </w:footnote>
  <w:footnote w:type="continuationSeparator" w:id="1">
    <w:p w:rsidR="0053749A" w:rsidRDefault="0053749A" w:rsidP="00106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A8B"/>
    <w:rsid w:val="000031A5"/>
    <w:rsid w:val="000040F9"/>
    <w:rsid w:val="00012B00"/>
    <w:rsid w:val="00026D7C"/>
    <w:rsid w:val="00030597"/>
    <w:rsid w:val="000324E2"/>
    <w:rsid w:val="00033372"/>
    <w:rsid w:val="000353AD"/>
    <w:rsid w:val="00042C8A"/>
    <w:rsid w:val="000560B2"/>
    <w:rsid w:val="000574AF"/>
    <w:rsid w:val="00073AB9"/>
    <w:rsid w:val="000944FD"/>
    <w:rsid w:val="000948B2"/>
    <w:rsid w:val="000B030D"/>
    <w:rsid w:val="000B2E7A"/>
    <w:rsid w:val="000B33AD"/>
    <w:rsid w:val="000B4A3B"/>
    <w:rsid w:val="000B5B78"/>
    <w:rsid w:val="000B668F"/>
    <w:rsid w:val="000C09E3"/>
    <w:rsid w:val="000C46AC"/>
    <w:rsid w:val="000D355F"/>
    <w:rsid w:val="000D4A82"/>
    <w:rsid w:val="000D7327"/>
    <w:rsid w:val="000E02B8"/>
    <w:rsid w:val="0010674E"/>
    <w:rsid w:val="00116898"/>
    <w:rsid w:val="001258DC"/>
    <w:rsid w:val="00134B2E"/>
    <w:rsid w:val="00143D42"/>
    <w:rsid w:val="00151AA7"/>
    <w:rsid w:val="00152B00"/>
    <w:rsid w:val="00155E84"/>
    <w:rsid w:val="001570D0"/>
    <w:rsid w:val="001622BB"/>
    <w:rsid w:val="00174425"/>
    <w:rsid w:val="00177020"/>
    <w:rsid w:val="0018017C"/>
    <w:rsid w:val="001864A0"/>
    <w:rsid w:val="0018651A"/>
    <w:rsid w:val="00193F38"/>
    <w:rsid w:val="001C6AE3"/>
    <w:rsid w:val="001C7DAE"/>
    <w:rsid w:val="001E75B7"/>
    <w:rsid w:val="002146CD"/>
    <w:rsid w:val="002165DE"/>
    <w:rsid w:val="00231209"/>
    <w:rsid w:val="002324FB"/>
    <w:rsid w:val="002444A8"/>
    <w:rsid w:val="00253901"/>
    <w:rsid w:val="00262A8B"/>
    <w:rsid w:val="00275320"/>
    <w:rsid w:val="00276E5F"/>
    <w:rsid w:val="00284031"/>
    <w:rsid w:val="00296843"/>
    <w:rsid w:val="002B76D4"/>
    <w:rsid w:val="002C0E66"/>
    <w:rsid w:val="002C2E2E"/>
    <w:rsid w:val="002D2517"/>
    <w:rsid w:val="002D68D9"/>
    <w:rsid w:val="002E02C2"/>
    <w:rsid w:val="002E4F0C"/>
    <w:rsid w:val="002E6607"/>
    <w:rsid w:val="002E6F17"/>
    <w:rsid w:val="00304980"/>
    <w:rsid w:val="00313A7D"/>
    <w:rsid w:val="003201A9"/>
    <w:rsid w:val="00321D3F"/>
    <w:rsid w:val="00353D29"/>
    <w:rsid w:val="003571C9"/>
    <w:rsid w:val="003805F4"/>
    <w:rsid w:val="00381A83"/>
    <w:rsid w:val="0039108E"/>
    <w:rsid w:val="003A0D6E"/>
    <w:rsid w:val="003A7CA8"/>
    <w:rsid w:val="003C08CA"/>
    <w:rsid w:val="003C0E56"/>
    <w:rsid w:val="003D0262"/>
    <w:rsid w:val="003D3DEA"/>
    <w:rsid w:val="003D645F"/>
    <w:rsid w:val="003D76FD"/>
    <w:rsid w:val="003E11A7"/>
    <w:rsid w:val="003E44B5"/>
    <w:rsid w:val="003E4A79"/>
    <w:rsid w:val="00400645"/>
    <w:rsid w:val="00400F89"/>
    <w:rsid w:val="00405548"/>
    <w:rsid w:val="00405724"/>
    <w:rsid w:val="00407323"/>
    <w:rsid w:val="0041337C"/>
    <w:rsid w:val="004237CA"/>
    <w:rsid w:val="00434AE0"/>
    <w:rsid w:val="00474043"/>
    <w:rsid w:val="0047548F"/>
    <w:rsid w:val="00484722"/>
    <w:rsid w:val="00496C49"/>
    <w:rsid w:val="0049762F"/>
    <w:rsid w:val="004D4535"/>
    <w:rsid w:val="004D7EBB"/>
    <w:rsid w:val="004E3F9B"/>
    <w:rsid w:val="00516C37"/>
    <w:rsid w:val="00517764"/>
    <w:rsid w:val="005205F7"/>
    <w:rsid w:val="005269E4"/>
    <w:rsid w:val="00526B20"/>
    <w:rsid w:val="005370EA"/>
    <w:rsid w:val="0053749A"/>
    <w:rsid w:val="00540515"/>
    <w:rsid w:val="00561F4F"/>
    <w:rsid w:val="005652D8"/>
    <w:rsid w:val="00571B6E"/>
    <w:rsid w:val="00573ABD"/>
    <w:rsid w:val="005756D9"/>
    <w:rsid w:val="00581049"/>
    <w:rsid w:val="00596756"/>
    <w:rsid w:val="005A53D4"/>
    <w:rsid w:val="005A6501"/>
    <w:rsid w:val="005C7358"/>
    <w:rsid w:val="005D0D1D"/>
    <w:rsid w:val="005E55FD"/>
    <w:rsid w:val="005F381E"/>
    <w:rsid w:val="005F7CED"/>
    <w:rsid w:val="00607667"/>
    <w:rsid w:val="00607EE7"/>
    <w:rsid w:val="006114AD"/>
    <w:rsid w:val="00620991"/>
    <w:rsid w:val="00623AD2"/>
    <w:rsid w:val="00625A42"/>
    <w:rsid w:val="00640830"/>
    <w:rsid w:val="00642B42"/>
    <w:rsid w:val="00653D23"/>
    <w:rsid w:val="00661A38"/>
    <w:rsid w:val="00674C85"/>
    <w:rsid w:val="0068426C"/>
    <w:rsid w:val="006A1BD1"/>
    <w:rsid w:val="006A3B5A"/>
    <w:rsid w:val="006D5AB2"/>
    <w:rsid w:val="006D743C"/>
    <w:rsid w:val="007013D3"/>
    <w:rsid w:val="007127DB"/>
    <w:rsid w:val="00715CFF"/>
    <w:rsid w:val="00734F26"/>
    <w:rsid w:val="0075269F"/>
    <w:rsid w:val="0075414F"/>
    <w:rsid w:val="0076485D"/>
    <w:rsid w:val="00765B80"/>
    <w:rsid w:val="00773EAE"/>
    <w:rsid w:val="0078196C"/>
    <w:rsid w:val="007A131C"/>
    <w:rsid w:val="007B270E"/>
    <w:rsid w:val="007C219F"/>
    <w:rsid w:val="007C2CAC"/>
    <w:rsid w:val="007C353E"/>
    <w:rsid w:val="007C3556"/>
    <w:rsid w:val="007D6365"/>
    <w:rsid w:val="007E269B"/>
    <w:rsid w:val="007E42A9"/>
    <w:rsid w:val="007F27D0"/>
    <w:rsid w:val="007F2CA9"/>
    <w:rsid w:val="007F7834"/>
    <w:rsid w:val="0080511F"/>
    <w:rsid w:val="00807CCE"/>
    <w:rsid w:val="008278E9"/>
    <w:rsid w:val="0083362A"/>
    <w:rsid w:val="008346B5"/>
    <w:rsid w:val="008407FC"/>
    <w:rsid w:val="008549EC"/>
    <w:rsid w:val="008561A6"/>
    <w:rsid w:val="00862020"/>
    <w:rsid w:val="008661A1"/>
    <w:rsid w:val="0087355E"/>
    <w:rsid w:val="00893BBC"/>
    <w:rsid w:val="008943F5"/>
    <w:rsid w:val="008B6D41"/>
    <w:rsid w:val="008C1F1D"/>
    <w:rsid w:val="008E1419"/>
    <w:rsid w:val="00905803"/>
    <w:rsid w:val="00911641"/>
    <w:rsid w:val="0091309E"/>
    <w:rsid w:val="00925389"/>
    <w:rsid w:val="00934ABD"/>
    <w:rsid w:val="00954765"/>
    <w:rsid w:val="00954ABB"/>
    <w:rsid w:val="009564C9"/>
    <w:rsid w:val="00965F7E"/>
    <w:rsid w:val="00982633"/>
    <w:rsid w:val="009A1191"/>
    <w:rsid w:val="009B42BF"/>
    <w:rsid w:val="009B7B3C"/>
    <w:rsid w:val="009C237A"/>
    <w:rsid w:val="009D14D5"/>
    <w:rsid w:val="009D37AA"/>
    <w:rsid w:val="009E1777"/>
    <w:rsid w:val="009E3E0D"/>
    <w:rsid w:val="00A12B2B"/>
    <w:rsid w:val="00A17170"/>
    <w:rsid w:val="00A22B03"/>
    <w:rsid w:val="00A242D7"/>
    <w:rsid w:val="00A245C2"/>
    <w:rsid w:val="00A251A3"/>
    <w:rsid w:val="00A26F65"/>
    <w:rsid w:val="00A31789"/>
    <w:rsid w:val="00A611AC"/>
    <w:rsid w:val="00A61315"/>
    <w:rsid w:val="00A61A92"/>
    <w:rsid w:val="00A752D2"/>
    <w:rsid w:val="00AA5411"/>
    <w:rsid w:val="00AA7654"/>
    <w:rsid w:val="00AB3ECF"/>
    <w:rsid w:val="00AC5164"/>
    <w:rsid w:val="00AE1403"/>
    <w:rsid w:val="00AE4041"/>
    <w:rsid w:val="00AE477E"/>
    <w:rsid w:val="00AE4CA4"/>
    <w:rsid w:val="00AE7431"/>
    <w:rsid w:val="00AF0951"/>
    <w:rsid w:val="00B03552"/>
    <w:rsid w:val="00B051E6"/>
    <w:rsid w:val="00B05629"/>
    <w:rsid w:val="00B16B0B"/>
    <w:rsid w:val="00B20535"/>
    <w:rsid w:val="00B25021"/>
    <w:rsid w:val="00B31C0E"/>
    <w:rsid w:val="00B35930"/>
    <w:rsid w:val="00B4302F"/>
    <w:rsid w:val="00B4711B"/>
    <w:rsid w:val="00B50542"/>
    <w:rsid w:val="00B5229E"/>
    <w:rsid w:val="00B84936"/>
    <w:rsid w:val="00B9545D"/>
    <w:rsid w:val="00BA0AC6"/>
    <w:rsid w:val="00BC1531"/>
    <w:rsid w:val="00BC2A4E"/>
    <w:rsid w:val="00BC5DA5"/>
    <w:rsid w:val="00BC6FED"/>
    <w:rsid w:val="00BF04C4"/>
    <w:rsid w:val="00BF2D19"/>
    <w:rsid w:val="00BF7F2D"/>
    <w:rsid w:val="00C04B1F"/>
    <w:rsid w:val="00C06FB9"/>
    <w:rsid w:val="00C12CEB"/>
    <w:rsid w:val="00C143EF"/>
    <w:rsid w:val="00C3038D"/>
    <w:rsid w:val="00C30B94"/>
    <w:rsid w:val="00C3749D"/>
    <w:rsid w:val="00C41166"/>
    <w:rsid w:val="00C41A2E"/>
    <w:rsid w:val="00C43B1F"/>
    <w:rsid w:val="00C463E5"/>
    <w:rsid w:val="00C9624E"/>
    <w:rsid w:val="00CA04E9"/>
    <w:rsid w:val="00CF551A"/>
    <w:rsid w:val="00D010E6"/>
    <w:rsid w:val="00D01E11"/>
    <w:rsid w:val="00D0233D"/>
    <w:rsid w:val="00D17BDD"/>
    <w:rsid w:val="00D21497"/>
    <w:rsid w:val="00D26AF6"/>
    <w:rsid w:val="00D26B82"/>
    <w:rsid w:val="00D36B7A"/>
    <w:rsid w:val="00D75F0F"/>
    <w:rsid w:val="00D82C62"/>
    <w:rsid w:val="00D85252"/>
    <w:rsid w:val="00D86A7F"/>
    <w:rsid w:val="00DA256F"/>
    <w:rsid w:val="00DA5005"/>
    <w:rsid w:val="00DA69A2"/>
    <w:rsid w:val="00DB01D1"/>
    <w:rsid w:val="00DD0BE4"/>
    <w:rsid w:val="00DE2B64"/>
    <w:rsid w:val="00DE4DF0"/>
    <w:rsid w:val="00DE7325"/>
    <w:rsid w:val="00DF2C8B"/>
    <w:rsid w:val="00E00E2F"/>
    <w:rsid w:val="00E06848"/>
    <w:rsid w:val="00E21FD3"/>
    <w:rsid w:val="00E24349"/>
    <w:rsid w:val="00E33728"/>
    <w:rsid w:val="00E47DB7"/>
    <w:rsid w:val="00E60624"/>
    <w:rsid w:val="00E92466"/>
    <w:rsid w:val="00EA0637"/>
    <w:rsid w:val="00EA2190"/>
    <w:rsid w:val="00EA5855"/>
    <w:rsid w:val="00EC2441"/>
    <w:rsid w:val="00EC40DE"/>
    <w:rsid w:val="00ED1C12"/>
    <w:rsid w:val="00EE222C"/>
    <w:rsid w:val="00EF3EF2"/>
    <w:rsid w:val="00F022B9"/>
    <w:rsid w:val="00F24AE1"/>
    <w:rsid w:val="00F4088C"/>
    <w:rsid w:val="00F449BE"/>
    <w:rsid w:val="00F4687D"/>
    <w:rsid w:val="00F559D0"/>
    <w:rsid w:val="00F8112B"/>
    <w:rsid w:val="00F93469"/>
    <w:rsid w:val="00FA0055"/>
    <w:rsid w:val="00FA352F"/>
    <w:rsid w:val="00FD4FF4"/>
    <w:rsid w:val="00FE130C"/>
    <w:rsid w:val="00FE5609"/>
    <w:rsid w:val="434A4FB7"/>
    <w:rsid w:val="6A930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74E"/>
    <w:pPr>
      <w:widowControl w:val="0"/>
      <w:jc w:val="both"/>
    </w:pPr>
    <w:rPr>
      <w:kern w:val="2"/>
      <w:sz w:val="21"/>
      <w:szCs w:val="24"/>
    </w:rPr>
  </w:style>
  <w:style w:type="paragraph" w:styleId="1">
    <w:name w:val="heading 1"/>
    <w:basedOn w:val="a"/>
    <w:next w:val="a"/>
    <w:qFormat/>
    <w:rsid w:val="0010674E"/>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674E"/>
    <w:rPr>
      <w:sz w:val="18"/>
      <w:szCs w:val="18"/>
    </w:rPr>
  </w:style>
  <w:style w:type="paragraph" w:styleId="a4">
    <w:name w:val="footer"/>
    <w:basedOn w:val="a"/>
    <w:link w:val="Char"/>
    <w:rsid w:val="0010674E"/>
    <w:pPr>
      <w:tabs>
        <w:tab w:val="center" w:pos="4153"/>
        <w:tab w:val="right" w:pos="8306"/>
      </w:tabs>
      <w:snapToGrid w:val="0"/>
      <w:jc w:val="left"/>
    </w:pPr>
    <w:rPr>
      <w:sz w:val="18"/>
      <w:szCs w:val="18"/>
    </w:rPr>
  </w:style>
  <w:style w:type="paragraph" w:styleId="a5">
    <w:name w:val="header"/>
    <w:basedOn w:val="a"/>
    <w:link w:val="Char0"/>
    <w:qFormat/>
    <w:rsid w:val="0010674E"/>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10674E"/>
    <w:pPr>
      <w:widowControl/>
    </w:pPr>
    <w:rPr>
      <w:kern w:val="0"/>
      <w:szCs w:val="21"/>
    </w:rPr>
  </w:style>
  <w:style w:type="character" w:customStyle="1" w:styleId="Char0">
    <w:name w:val="页眉 Char"/>
    <w:basedOn w:val="a0"/>
    <w:link w:val="a5"/>
    <w:rsid w:val="0010674E"/>
    <w:rPr>
      <w:kern w:val="2"/>
      <w:sz w:val="18"/>
      <w:szCs w:val="18"/>
    </w:rPr>
  </w:style>
  <w:style w:type="character" w:customStyle="1" w:styleId="Char">
    <w:name w:val="页脚 Char"/>
    <w:basedOn w:val="a0"/>
    <w:link w:val="a4"/>
    <w:rsid w:val="0010674E"/>
    <w:rPr>
      <w:kern w:val="2"/>
      <w:sz w:val="18"/>
      <w:szCs w:val="18"/>
    </w:rPr>
  </w:style>
  <w:style w:type="paragraph" w:customStyle="1" w:styleId="Char1">
    <w:name w:val="Char"/>
    <w:basedOn w:val="a"/>
    <w:rsid w:val="0010674E"/>
    <w:pPr>
      <w:widowControl/>
      <w:spacing w:after="160" w:line="240" w:lineRule="exact"/>
      <w:jc w:val="left"/>
    </w:pPr>
    <w:rPr>
      <w:rFonts w:ascii="Arial" w:eastAsia="Times New Roman" w:hAnsi="Arial" w:cs="Verdana"/>
      <w:b/>
      <w:kern w:val="0"/>
      <w:sz w:val="24"/>
      <w:lang w:eastAsia="en-US"/>
    </w:rPr>
  </w:style>
  <w:style w:type="paragraph" w:customStyle="1" w:styleId="a6">
    <w:name w:val="公文正文"/>
    <w:basedOn w:val="a"/>
    <w:link w:val="Char2"/>
    <w:qFormat/>
    <w:rsid w:val="0010674E"/>
    <w:pPr>
      <w:spacing w:line="576" w:lineRule="exact"/>
      <w:ind w:firstLineChars="200" w:firstLine="632"/>
      <w:jc w:val="left"/>
    </w:pPr>
    <w:rPr>
      <w:rFonts w:ascii="仿宋_GB2312" w:eastAsia="仿宋_GB2312" w:hAnsi="Calibri" w:cs="仿宋_GB2312"/>
      <w:sz w:val="32"/>
      <w:szCs w:val="32"/>
    </w:rPr>
  </w:style>
  <w:style w:type="character" w:customStyle="1" w:styleId="Char2">
    <w:name w:val="公文正文 Char"/>
    <w:basedOn w:val="a0"/>
    <w:link w:val="a6"/>
    <w:locked/>
    <w:rsid w:val="0010674E"/>
    <w:rPr>
      <w:rFonts w:ascii="仿宋_GB2312" w:eastAsia="仿宋_GB2312" w:hAnsi="Calibri" w:cs="仿宋_GB2312"/>
      <w:kern w:val="2"/>
      <w:sz w:val="32"/>
      <w:szCs w:val="32"/>
    </w:rPr>
  </w:style>
  <w:style w:type="paragraph" w:customStyle="1" w:styleId="a7">
    <w:name w:val="二级标题"/>
    <w:basedOn w:val="a"/>
    <w:link w:val="Char3"/>
    <w:rsid w:val="0010674E"/>
    <w:pPr>
      <w:spacing w:line="576" w:lineRule="exact"/>
      <w:ind w:firstLineChars="200" w:firstLine="634"/>
      <w:jc w:val="left"/>
    </w:pPr>
    <w:rPr>
      <w:rFonts w:ascii="楷体_GB2312" w:eastAsia="楷体_GB2312" w:hAnsi="Calibri"/>
      <w:b/>
      <w:sz w:val="32"/>
      <w:szCs w:val="32"/>
    </w:rPr>
  </w:style>
  <w:style w:type="character" w:customStyle="1" w:styleId="Char3">
    <w:name w:val="二级标题 Char"/>
    <w:basedOn w:val="a0"/>
    <w:link w:val="a7"/>
    <w:locked/>
    <w:rsid w:val="0010674E"/>
    <w:rPr>
      <w:rFonts w:ascii="楷体_GB2312" w:eastAsia="楷体_GB2312" w:hAnsi="Calibri"/>
      <w:b/>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300" b="0" i="0" u="none" strike="noStrike" kern="1200" baseline="0">
                <a:solidFill>
                  <a:schemeClr val="tx1"/>
                </a:solidFill>
                <a:latin typeface="+mn-lt"/>
                <a:ea typeface="+mn-ea"/>
                <a:cs typeface="+mn-cs"/>
              </a:defRPr>
            </a:pPr>
            <a:r>
              <a:rPr lang="en-US" altLang="zh-CN"/>
              <a:t>2017</a:t>
            </a:r>
            <a:r>
              <a:rPr lang="zh-CN" altLang="en-US"/>
              <a:t>年收入决算图</a:t>
            </a:r>
          </a:p>
        </c:rich>
      </c:tx>
      <c:layout>
        <c:manualLayout>
          <c:xMode val="edge"/>
          <c:yMode val="edge"/>
          <c:x val="0.36052463211772362"/>
          <c:y val="0.91413828689370502"/>
        </c:manualLayout>
      </c:layout>
    </c:title>
    <c:plotArea>
      <c:layout/>
      <c:pieChart>
        <c:varyColors val="1"/>
        <c:ser>
          <c:idx val="0"/>
          <c:order val="0"/>
          <c:tx>
            <c:strRef>
              <c:f>Sheet1!$B$1</c:f>
              <c:strCache>
                <c:ptCount val="1"/>
                <c:pt idx="0">
                  <c:v>2017年收入决算</c:v>
                </c:pt>
              </c:strCache>
            </c:strRef>
          </c:tx>
          <c:dLbls>
            <c:dLbl>
              <c:idx val="0"/>
              <c:tx>
                <c:rich>
                  <a:bodyPr/>
                  <a:lstStyle/>
                  <a:p>
                    <a:r>
                      <a:rPr lang="zh-CN" altLang="en-US"/>
                      <a:t>财政拨款收入</a:t>
                    </a:r>
                    <a:r>
                      <a:rPr lang="en-US" altLang="zh-CN"/>
                      <a:t>96.43%</a:t>
                    </a:r>
                    <a:endParaRPr lang="zh-CN" altLang="en-US"/>
                  </a:p>
                </c:rich>
              </c:tx>
              <c:dLblPos val="bestFit"/>
              <c:showVal val="1"/>
              <c:showCatName val="1"/>
              <c:extLst>
                <c:ext xmlns:c15="http://schemas.microsoft.com/office/drawing/2012/chart" uri="{CE6537A1-D6FC-4f65-9D91-7224C49458BB}"/>
              </c:extLst>
            </c:dLbl>
            <c:dLbl>
              <c:idx val="1"/>
              <c:layout>
                <c:manualLayout>
                  <c:x val="-0.10826081480697843"/>
                  <c:y val="1.9557462437938301E-2"/>
                </c:manualLayout>
              </c:layout>
              <c:dLblPos val="bestFit"/>
              <c:showVal val="1"/>
              <c:showCatName val="1"/>
              <c:extLst>
                <c:ext xmlns:c15="http://schemas.microsoft.com/office/drawing/2012/chart" uri="{CE6537A1-D6FC-4f65-9D91-7224C49458BB}">
                  <c15:layout/>
                </c:ext>
              </c:extLst>
            </c:dLbl>
            <c:dLbl>
              <c:idx val="2"/>
              <c:layout>
                <c:manualLayout>
                  <c:x val="0.20177069331925188"/>
                  <c:y val="2.6475631746558616E-2"/>
                </c:manualLayout>
              </c:layout>
              <c:dLblPos val="bestFit"/>
              <c:showVal val="1"/>
              <c:showCatName val="1"/>
              <c:extLst>
                <c:ext xmlns:c15="http://schemas.microsoft.com/office/drawing/2012/chart" uri="{CE6537A1-D6FC-4f65-9D91-7224C49458BB}">
                  <c15:layout/>
                </c:ext>
              </c:extLst>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ext>
            </c:extLst>
          </c:dLbls>
          <c:cat>
            <c:strRef>
              <c:f>Sheet1!$A$2:$A$5</c:f>
              <c:strCache>
                <c:ptCount val="4"/>
                <c:pt idx="0">
                  <c:v>一般公共预算财政拨款收入</c:v>
                </c:pt>
                <c:pt idx="1">
                  <c:v>政府性基金预算财政拨款收入</c:v>
                </c:pt>
                <c:pt idx="2">
                  <c:v>其他收入</c:v>
                </c:pt>
              </c:strCache>
            </c:strRef>
          </c:cat>
          <c:val>
            <c:numRef>
              <c:f>Sheet1!$B$2:$B$5</c:f>
              <c:numCache>
                <c:formatCode>0.00%</c:formatCode>
                <c:ptCount val="4"/>
                <c:pt idx="0" formatCode="0%">
                  <c:v>0.96430000000000005</c:v>
                </c:pt>
                <c:pt idx="1">
                  <c:v>3.4400000000000062E-2</c:v>
                </c:pt>
                <c:pt idx="2">
                  <c:v>1.3000000000000036E-3</c:v>
                </c:pt>
              </c:numCache>
            </c:numRef>
          </c:val>
        </c:ser>
        <c:dLbls>
          <c:showVal val="1"/>
          <c:showCatName val="1"/>
        </c:dLbls>
        <c:firstSliceAng val="0"/>
      </c:pieChart>
    </c:plotArea>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300" b="0" i="0" u="none" strike="noStrike" kern="1200" baseline="0">
                <a:solidFill>
                  <a:schemeClr val="tx1"/>
                </a:solidFill>
                <a:latin typeface="+mn-lt"/>
                <a:ea typeface="+mn-ea"/>
                <a:cs typeface="+mn-cs"/>
              </a:defRPr>
            </a:pPr>
            <a:r>
              <a:rPr lang="en-US" altLang="zh-CN" sz="1300" b="0" i="0" baseline="0"/>
              <a:t>2017</a:t>
            </a:r>
            <a:r>
              <a:rPr lang="zh-CN" altLang="en-US" sz="1300" b="0" i="0" baseline="0"/>
              <a:t>年支出情况图</a:t>
            </a:r>
          </a:p>
        </c:rich>
      </c:tx>
    </c:title>
    <c:plotArea>
      <c:layout/>
      <c:pieChart>
        <c:varyColors val="1"/>
        <c:ser>
          <c:idx val="0"/>
          <c:order val="0"/>
          <c:tx>
            <c:strRef>
              <c:f>Sheet1!$B$1</c:f>
              <c:strCache>
                <c:ptCount val="1"/>
                <c:pt idx="0">
                  <c:v>2017支出</c:v>
                </c:pt>
              </c:strCache>
            </c:strRef>
          </c:tx>
          <c:dLbls>
            <c:dLbl>
              <c:idx val="0"/>
              <c:tx>
                <c:rich>
                  <a:bodyPr/>
                  <a:lstStyle/>
                  <a:p>
                    <a:r>
                      <a:rPr lang="zh-CN" altLang="en-US"/>
                      <a:t>基本支出</a:t>
                    </a:r>
                    <a:r>
                      <a:rPr lang="en-US" altLang="zh-CN"/>
                      <a:t>46.81%</a:t>
                    </a:r>
                    <a:endParaRPr lang="zh-CN" altLang="en-US"/>
                  </a:p>
                </c:rich>
              </c:tx>
              <c:dLblPos val="bestFit"/>
              <c:showVal val="1"/>
              <c:showCatName val="1"/>
              <c:extLst>
                <c:ext xmlns:c15="http://schemas.microsoft.com/office/drawing/2012/chart" uri="{CE6537A1-D6FC-4f65-9D91-7224C49458BB}"/>
              </c:extLst>
            </c:dLbl>
            <c:dLbl>
              <c:idx val="1"/>
              <c:tx>
                <c:rich>
                  <a:bodyPr/>
                  <a:lstStyle/>
                  <a:p>
                    <a:r>
                      <a:rPr lang="zh-CN" altLang="en-US"/>
                      <a:t>项目支出</a:t>
                    </a:r>
                    <a:r>
                      <a:rPr lang="en-US" altLang="zh-CN"/>
                      <a:t>53.19%</a:t>
                    </a:r>
                  </a:p>
                </c:rich>
              </c:tx>
              <c:dLblPos val="bestFit"/>
              <c:showVal val="1"/>
              <c:showCatName val="1"/>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ext>
            </c:extLst>
          </c:dLbls>
          <c:cat>
            <c:strRef>
              <c:f>Sheet1!$A$2:$A$5</c:f>
              <c:strCache>
                <c:ptCount val="3"/>
                <c:pt idx="0">
                  <c:v>基本支出</c:v>
                </c:pt>
                <c:pt idx="1">
                  <c:v>项目支出</c:v>
                </c:pt>
                <c:pt idx="2">
                  <c:v>政府性基金支出</c:v>
                </c:pt>
              </c:strCache>
            </c:strRef>
          </c:cat>
          <c:val>
            <c:numRef>
              <c:f>Sheet1!$B$2:$B$5</c:f>
              <c:numCache>
                <c:formatCode>0.00%</c:formatCode>
                <c:ptCount val="4"/>
                <c:pt idx="0">
                  <c:v>0.58029999999999959</c:v>
                </c:pt>
                <c:pt idx="1">
                  <c:v>0.38360000000000138</c:v>
                </c:pt>
                <c:pt idx="2">
                  <c:v>3.6100000000000014E-2</c:v>
                </c:pt>
              </c:numCache>
            </c:numRef>
          </c:val>
        </c:ser>
        <c:dLbls>
          <c:showVal val="1"/>
          <c:showCatName val="1"/>
        </c:dLbls>
        <c:firstSliceAng val="15"/>
      </c:pieChart>
      <c:spPr>
        <a:noFill/>
        <a:ln>
          <a:noFill/>
        </a:ln>
        <a:effectLst/>
      </c:spPr>
    </c:plotArea>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系列 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Sheet1!$A$2:$A$5</c:f>
              <c:strCache>
                <c:ptCount val="2"/>
                <c:pt idx="0">
                  <c:v>2016年</c:v>
                </c:pt>
                <c:pt idx="1">
                  <c:v>2017年</c:v>
                </c:pt>
              </c:strCache>
            </c:strRef>
          </c:cat>
          <c:val>
            <c:numRef>
              <c:f>Sheet1!$B$2:$B$5</c:f>
              <c:numCache>
                <c:formatCode>General</c:formatCode>
                <c:ptCount val="4"/>
                <c:pt idx="0">
                  <c:v>6746.25</c:v>
                </c:pt>
                <c:pt idx="1">
                  <c:v>1597.6899999999998</c:v>
                </c:pt>
              </c:numCache>
            </c:numRef>
          </c:val>
        </c:ser>
        <c:ser>
          <c:idx val="1"/>
          <c:order val="1"/>
          <c:tx>
            <c:strRef>
              <c:f>Sheet1!$C$1</c:f>
              <c:strCache>
                <c:ptCount val="1"/>
                <c:pt idx="0">
                  <c:v>系列 2</c:v>
                </c:pt>
              </c:strCache>
            </c:strRef>
          </c:tx>
          <c:cat>
            <c:strRef>
              <c:f>Sheet1!$A$2:$A$5</c:f>
              <c:strCache>
                <c:ptCount val="2"/>
                <c:pt idx="0">
                  <c:v>2016年</c:v>
                </c:pt>
                <c:pt idx="1">
                  <c:v>2017年</c:v>
                </c:pt>
              </c:strCache>
            </c:strRef>
          </c:cat>
          <c:val>
            <c:numRef>
              <c:f>Sheet1!$C$2:$C$5</c:f>
              <c:numCache>
                <c:formatCode>General</c:formatCode>
                <c:ptCount val="4"/>
              </c:numCache>
            </c:numRef>
          </c:val>
        </c:ser>
        <c:ser>
          <c:idx val="2"/>
          <c:order val="2"/>
          <c:tx>
            <c:strRef>
              <c:f>Sheet1!$D$1</c:f>
              <c:strCache>
                <c:ptCount val="1"/>
                <c:pt idx="0">
                  <c:v>系列 3</c:v>
                </c:pt>
              </c:strCache>
            </c:strRef>
          </c:tx>
          <c:cat>
            <c:strRef>
              <c:f>Sheet1!$A$2:$A$5</c:f>
              <c:strCache>
                <c:ptCount val="2"/>
                <c:pt idx="0">
                  <c:v>2016年</c:v>
                </c:pt>
                <c:pt idx="1">
                  <c:v>2017年</c:v>
                </c:pt>
              </c:strCache>
            </c:strRef>
          </c:cat>
          <c:val>
            <c:numRef>
              <c:f>Sheet1!$D$2:$D$5</c:f>
              <c:numCache>
                <c:formatCode>General</c:formatCode>
                <c:ptCount val="4"/>
              </c:numCache>
            </c:numRef>
          </c:val>
        </c:ser>
        <c:overlap val="100"/>
        <c:axId val="184256384"/>
        <c:axId val="202201344"/>
      </c:barChart>
      <c:catAx>
        <c:axId val="18425638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2201344"/>
        <c:crosses val="autoZero"/>
        <c:auto val="1"/>
        <c:lblAlgn val="ctr"/>
        <c:lblOffset val="100"/>
      </c:catAx>
      <c:valAx>
        <c:axId val="202201344"/>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4256384"/>
        <c:crosses val="autoZero"/>
        <c:crossBetween val="between"/>
      </c:valAx>
    </c:plotArea>
    <c:plotVisOnly val="1"/>
    <c:dispBlanksAs val="gap"/>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系列 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Sheet1!$A$2:$A$5</c:f>
              <c:strCache>
                <c:ptCount val="2"/>
                <c:pt idx="0">
                  <c:v>2016年</c:v>
                </c:pt>
                <c:pt idx="1">
                  <c:v>2017年</c:v>
                </c:pt>
              </c:strCache>
            </c:strRef>
          </c:cat>
          <c:val>
            <c:numRef>
              <c:f>Sheet1!$B$2:$B$5</c:f>
              <c:numCache>
                <c:formatCode>General</c:formatCode>
                <c:ptCount val="4"/>
                <c:pt idx="0">
                  <c:v>804.39</c:v>
                </c:pt>
                <c:pt idx="1">
                  <c:v>932.44999999999948</c:v>
                </c:pt>
              </c:numCache>
            </c:numRef>
          </c:val>
        </c:ser>
        <c:ser>
          <c:idx val="1"/>
          <c:order val="1"/>
          <c:tx>
            <c:strRef>
              <c:f>Sheet1!$C$1</c:f>
              <c:strCache>
                <c:ptCount val="1"/>
                <c:pt idx="0">
                  <c:v>系列 2</c:v>
                </c:pt>
              </c:strCache>
            </c:strRef>
          </c:tx>
          <c:cat>
            <c:strRef>
              <c:f>Sheet1!$A$2:$A$5</c:f>
              <c:strCache>
                <c:ptCount val="2"/>
                <c:pt idx="0">
                  <c:v>2016年</c:v>
                </c:pt>
                <c:pt idx="1">
                  <c:v>2017年</c:v>
                </c:pt>
              </c:strCache>
            </c:strRef>
          </c:cat>
          <c:val>
            <c:numRef>
              <c:f>Sheet1!$C$2:$C$5</c:f>
              <c:numCache>
                <c:formatCode>General</c:formatCode>
                <c:ptCount val="4"/>
              </c:numCache>
            </c:numRef>
          </c:val>
        </c:ser>
        <c:ser>
          <c:idx val="2"/>
          <c:order val="2"/>
          <c:tx>
            <c:strRef>
              <c:f>Sheet1!$D$1</c:f>
              <c:strCache>
                <c:ptCount val="1"/>
                <c:pt idx="0">
                  <c:v>系列 3</c:v>
                </c:pt>
              </c:strCache>
            </c:strRef>
          </c:tx>
          <c:cat>
            <c:strRef>
              <c:f>Sheet1!$A$2:$A$5</c:f>
              <c:strCache>
                <c:ptCount val="2"/>
                <c:pt idx="0">
                  <c:v>2016年</c:v>
                </c:pt>
                <c:pt idx="1">
                  <c:v>2017年</c:v>
                </c:pt>
              </c:strCache>
            </c:strRef>
          </c:cat>
          <c:val>
            <c:numRef>
              <c:f>Sheet1!$D$2:$D$5</c:f>
              <c:numCache>
                <c:formatCode>General</c:formatCode>
                <c:ptCount val="4"/>
              </c:numCache>
            </c:numRef>
          </c:val>
        </c:ser>
        <c:overlap val="100"/>
        <c:axId val="272202752"/>
        <c:axId val="283754880"/>
      </c:barChart>
      <c:catAx>
        <c:axId val="27220275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3754880"/>
        <c:crosses val="autoZero"/>
        <c:auto val="1"/>
        <c:lblAlgn val="ctr"/>
        <c:lblOffset val="100"/>
      </c:catAx>
      <c:valAx>
        <c:axId val="28375488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2202752"/>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300" b="0" i="0" u="none" strike="noStrike" kern="1200" baseline="0">
                <a:solidFill>
                  <a:schemeClr val="tx1"/>
                </a:solidFill>
                <a:latin typeface="+mn-lt"/>
                <a:ea typeface="+mn-ea"/>
                <a:cs typeface="+mn-cs"/>
              </a:defRPr>
            </a:pPr>
            <a:r>
              <a:t>2017年一般公共预算财政拨款支出结构图</a:t>
            </a:r>
          </a:p>
        </c:rich>
      </c:tx>
    </c:title>
    <c:plotArea>
      <c:layout>
        <c:manualLayout>
          <c:layoutTarget val="inner"/>
          <c:xMode val="edge"/>
          <c:yMode val="edge"/>
          <c:x val="0.14183921688334628"/>
          <c:y val="0.22091059051055201"/>
          <c:w val="0.38916161545301708"/>
          <c:h val="0.66715714715227203"/>
        </c:manualLayout>
      </c:layout>
      <c:pieChart>
        <c:varyColors val="1"/>
        <c:ser>
          <c:idx val="0"/>
          <c:order val="0"/>
          <c:tx>
            <c:strRef>
              <c:f>Sheet1!$B$1</c:f>
              <c:strCache>
                <c:ptCount val="1"/>
                <c:pt idx="0">
                  <c:v>2017年一般公共预算财政拨款支出结构</c:v>
                </c:pt>
              </c:strCache>
            </c:strRef>
          </c:tx>
          <c:dLbls>
            <c:dLbl>
              <c:idx val="2"/>
              <c:layout>
                <c:manualLayout>
                  <c:x val="-6.8243389137600891E-2"/>
                  <c:y val="7.7144226940673143E-3"/>
                </c:manualLayout>
              </c:layout>
              <c:dLblPos val="bestFit"/>
              <c:showCatName val="1"/>
              <c:extLst>
                <c:ext xmlns:c15="http://schemas.microsoft.com/office/drawing/2012/chart" uri="{CE6537A1-D6FC-4f65-9D91-7224C49458BB}">
                  <c15:layout/>
                </c:ext>
              </c:extLst>
            </c:dLbl>
            <c:dLbl>
              <c:idx val="3"/>
              <c:layout>
                <c:manualLayout>
                  <c:x val="0.17364109650827531"/>
                  <c:y val="-4.3481143804392886E-2"/>
                </c:manualLayout>
              </c:layout>
              <c:dLblPos val="bestFit"/>
              <c:showCatName val="1"/>
              <c:extLst>
                <c:ext xmlns:c15="http://schemas.microsoft.com/office/drawing/2012/chart" uri="{CE6537A1-D6FC-4f65-9D91-7224C49458BB}">
                  <c15:layout/>
                </c:ext>
              </c:extLst>
            </c:dLbl>
            <c:dLbl>
              <c:idx val="4"/>
              <c:layout>
                <c:manualLayout>
                  <c:x val="-9.7716487450037692E-2"/>
                  <c:y val="-9.2721939169368522E-2"/>
                </c:manualLayout>
              </c:layout>
              <c:dLblPos val="bestFit"/>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LeaderLines val="1"/>
            <c:extLst>
              <c:ext xmlns:c15="http://schemas.microsoft.com/office/drawing/2012/chart" uri="{CE6537A1-D6FC-4f65-9D91-7224C49458BB}">
                <c15:layout/>
                <c15:showLeaderLines val="1"/>
                <c15:leaderLines/>
              </c:ext>
            </c:extLst>
          </c:dLbls>
          <c:cat>
            <c:strRef>
              <c:f>Sheet1!$A$2:$A$6</c:f>
              <c:strCache>
                <c:ptCount val="5"/>
                <c:pt idx="0">
                  <c:v>一般公共服务支出62.9%</c:v>
                </c:pt>
                <c:pt idx="1">
                  <c:v>教育支出0.3%</c:v>
                </c:pt>
                <c:pt idx="2">
                  <c:v>社会保障和就业支出18.27%</c:v>
                </c:pt>
                <c:pt idx="3">
                  <c:v>医疗卫生与计划生育支出1.33%</c:v>
                </c:pt>
                <c:pt idx="4">
                  <c:v>商业服务业等支出17.2%</c:v>
                </c:pt>
              </c:strCache>
            </c:strRef>
          </c:cat>
          <c:val>
            <c:numRef>
              <c:f>Sheet1!$B$2:$B$6</c:f>
              <c:numCache>
                <c:formatCode>0%</c:formatCode>
                <c:ptCount val="5"/>
                <c:pt idx="0" formatCode="0.00%">
                  <c:v>0.62900000000000122</c:v>
                </c:pt>
                <c:pt idx="1">
                  <c:v>3.1000000000000068E-3</c:v>
                </c:pt>
                <c:pt idx="2" formatCode="0.00%">
                  <c:v>0.18270000000000031</c:v>
                </c:pt>
                <c:pt idx="3" formatCode="0.00%">
                  <c:v>1.3300000000000024E-2</c:v>
                </c:pt>
                <c:pt idx="4" formatCode="0.00%">
                  <c:v>0.17200000000000001</c:v>
                </c:pt>
              </c:numCache>
            </c:numRef>
          </c:val>
        </c:ser>
        <c:dLbls>
          <c:showCatName val="1"/>
        </c:dLbls>
        <c:firstSliceAng val="0"/>
      </c:pieChart>
    </c:plotArea>
    <c:plotVisOnly val="1"/>
    <c:dispBlanksAs val="zero"/>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300" b="0" i="0" u="none" strike="noStrike" kern="1200" baseline="0">
                <a:solidFill>
                  <a:schemeClr val="tx1"/>
                </a:solidFill>
                <a:latin typeface="+mn-lt"/>
                <a:ea typeface="+mn-ea"/>
                <a:cs typeface="+mn-cs"/>
              </a:defRPr>
            </a:pPr>
            <a:r>
              <a:rPr lang="zh-CN" altLang="en-US" sz="1300" b="0" i="0" baseline="0"/>
              <a:t>“三公”经费财政拨款支出决算情况</a:t>
            </a:r>
          </a:p>
        </c:rich>
      </c:tx>
    </c:title>
    <c:plotArea>
      <c:layout/>
      <c:pieChart>
        <c:varyColors val="1"/>
        <c:ser>
          <c:idx val="0"/>
          <c:order val="0"/>
          <c:tx>
            <c:strRef>
              <c:f>Sheet1!$B$1</c:f>
              <c:strCache>
                <c:ptCount val="1"/>
                <c:pt idx="0">
                  <c:v>“三公”经费财政拨款支出决算结构图</c:v>
                </c:pt>
              </c:strCache>
            </c:strRef>
          </c:tx>
          <c:dLbls>
            <c:dLbl>
              <c:idx val="0"/>
              <c:delete val="1"/>
            </c:dLbl>
            <c:dLbl>
              <c:idx val="1"/>
              <c:tx>
                <c:rich>
                  <a:bodyPr/>
                  <a:lstStyle/>
                  <a:p>
                    <a:r>
                      <a:rPr lang="zh-CN" altLang="en-US"/>
                      <a:t>公务接待费</a:t>
                    </a:r>
                    <a:r>
                      <a:rPr lang="en-US" altLang="zh-CN"/>
                      <a:t>100%</a:t>
                    </a:r>
                  </a:p>
                </c:rich>
              </c:tx>
              <c:dLblPos val="bestFit"/>
              <c:showVal val="1"/>
              <c:showCatNam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ext>
            </c:extLst>
          </c:dLbls>
          <c:cat>
            <c:strRef>
              <c:f>Sheet1!$A$2:$A$3</c:f>
              <c:strCache>
                <c:ptCount val="1"/>
                <c:pt idx="0">
                  <c:v>公务接待费100%</c:v>
                </c:pt>
              </c:strCache>
            </c:strRef>
          </c:cat>
          <c:val>
            <c:numRef>
              <c:f>Sheet1!$B$2:$B$3</c:f>
              <c:numCache>
                <c:formatCode>General</c:formatCode>
                <c:ptCount val="2"/>
                <c:pt idx="0">
                  <c:v>15.33</c:v>
                </c:pt>
              </c:numCache>
            </c:numRef>
          </c:val>
        </c:ser>
        <c:dLbls>
          <c:showVal val="1"/>
          <c:showCatName val="1"/>
        </c:dLbls>
        <c:firstSliceAng val="0"/>
      </c:pie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681C5EC4-D1C7-42E7-812A-C9D495C652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1135</Words>
  <Characters>6473</Characters>
  <Application>Microsoft Office Word</Application>
  <DocSecurity>0</DocSecurity>
  <Lines>53</Lines>
  <Paragraphs>15</Paragraphs>
  <ScaleCrop>false</ScaleCrop>
  <Company>Lenovo (Beijing) Limited</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关于江油市***2014年部门决算编制的</dc:title>
  <dc:creator>Lenovo User</dc:creator>
  <cp:lastModifiedBy>微软中国</cp:lastModifiedBy>
  <cp:revision>43</cp:revision>
  <cp:lastPrinted>2018-09-25T06:48:00Z</cp:lastPrinted>
  <dcterms:created xsi:type="dcterms:W3CDTF">2018-09-05T07:47:00Z</dcterms:created>
  <dcterms:modified xsi:type="dcterms:W3CDTF">2019-03-15T02:42:00Z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