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360" w:lineRule="auto"/>
        <w:jc w:val="center"/>
        <w:textAlignment w:val="auto"/>
        <w:outlineLvl w:val="9"/>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四川省江油市档案局</w:t>
      </w:r>
    </w:p>
    <w:p>
      <w:pPr>
        <w:keepNext w:val="0"/>
        <w:keepLines w:val="0"/>
        <w:pageBreakBefore w:val="0"/>
        <w:kinsoku/>
        <w:wordWrap/>
        <w:overflowPunct/>
        <w:topLinePunct w:val="0"/>
        <w:bidi w:val="0"/>
        <w:spacing w:line="360" w:lineRule="auto"/>
        <w:jc w:val="center"/>
        <w:textAlignment w:val="auto"/>
        <w:outlineLvl w:val="9"/>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2017年部门决算编制说明</w:t>
      </w:r>
    </w:p>
    <w:p>
      <w:pPr>
        <w:keepNext w:val="0"/>
        <w:keepLines w:val="0"/>
        <w:pageBreakBefore w:val="0"/>
        <w:kinsoku/>
        <w:wordWrap/>
        <w:overflowPunct/>
        <w:topLinePunct w:val="0"/>
        <w:bidi w:val="0"/>
        <w:spacing w:line="360" w:lineRule="auto"/>
        <w:jc w:val="center"/>
        <w:textAlignment w:val="auto"/>
        <w:outlineLvl w:val="9"/>
        <w:rPr>
          <w:rFonts w:ascii="宋体" w:hAnsi="宋体"/>
          <w:b/>
          <w:color w:val="000000"/>
          <w:sz w:val="44"/>
          <w:szCs w:val="44"/>
        </w:rPr>
      </w:pPr>
    </w:p>
    <w:p>
      <w:pPr>
        <w:keepNext w:val="0"/>
        <w:keepLines w:val="0"/>
        <w:pageBreakBefore w:val="0"/>
        <w:kinsoku/>
        <w:wordWrap/>
        <w:overflowPunct/>
        <w:topLinePunct w:val="0"/>
        <w:bidi w:val="0"/>
        <w:spacing w:line="360" w:lineRule="auto"/>
        <w:ind w:firstLine="640" w:firstLineChars="200"/>
        <w:textAlignment w:val="auto"/>
        <w:outlineLvl w:val="9"/>
        <w:rPr>
          <w:rFonts w:ascii="黑体" w:eastAsia="黑体"/>
          <w:color w:val="000000"/>
          <w:sz w:val="32"/>
          <w:szCs w:val="32"/>
        </w:rPr>
      </w:pPr>
      <w:r>
        <w:rPr>
          <w:rFonts w:hint="eastAsia" w:ascii="黑体" w:eastAsia="黑体"/>
          <w:color w:val="000000"/>
          <w:sz w:val="32"/>
          <w:szCs w:val="32"/>
        </w:rPr>
        <w:t>一、基本职能及主要工作</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（一）市档案局（市档案馆）的主要职能是：</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1、贯彻执行《中华人民共和国档案法》以及党和国家有关档案工作的方针、政策；按照统一领导、分级管理的原则对全市档案工作实行统筹规划、宏观管理。</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2、拟定全市档案工作规章制度及全市档案事业的中长期规划和年度计划；集中统一管理市委和市政府机关团体、乡（镇）等单位的重要档案资料。</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3、依法对全市机关、乡（镇）、团体、企业事业单位和其它组织的档案工作进行组织协调、监督和指导，依法查处违反档案法律法规的行为。</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4、组织指导全市电子文件的归档管理，负责建设和管理电子档案，监督管理全市档案安全保密体系建设。</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5、组织开展全市档案理论、科研、宣传和教育培训工作，指导档案工作人员队伍建设，应用现代化技术进行档案保护，逐步实现档案管理规范化、标准化、科学化。</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6、依法接收、征集市级机关、乡（镇）、团体、事业单位、国有破产企业，其他组织和重要人员各种门类和载体的档案资料，并对进馆档案资料进行整理编目、科学管理、安全保管。</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7、负责对保管期满的档案进行鉴定和销毁，对馆藏破损档案进行抢救、修复。</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8、负责划分馆藏档案开放与控制使用范围，依法向社会开放档案；</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9、依法开展已公开现行文件和政府公开信息的收集、管理和利用服务工作；开放编研档案史料，举办爱国主义教育展览。</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10、组织实施馆藏文件档案信息化建设工作，做好档案信息网络和电子文件信息服务工作。</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11、组织开展档案学术活动，指导和支持市档案学会工作。</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12、承办市政府交办的其他事项。</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（二）2017年重点工作完成情况。</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1、全年共依法接收进馆档案43359件、503卷，光盘2盘；征集精美书画作品54幅；顺利启动“江油地方特色档案建设工程”，邀请绵阳市书法家协会行草委员会到江油国家档案馆举办现场笔会，分别与江油书法家协会、奇石文化博物馆等民间机构达成合作协议。</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2、派送机关5名年轻干部前往四川省档案学校参加全省第29期档案业务人员培训班；与市委党校联合举办归档文件整理规则和档案数字化工作专题培训班一期，参训人员240人；在雁门片区、六合、枫顺、云集等地开展档案业务实用技能培训，在全市范围内举办分片区实训班，提高档案员动手能力。</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3、通过电话咨询、电脑远程、现场指导等方式，全年共计指导450余人次；抽调市局工作人员分组联系各片区的地方特色档案征集、档案数字化建设、档案学术交流和档案行政执法等工作；对李白文化产业园项目、沉水水库、西成客专江油北站站前广场及配套设施建设等10余建设项目进行了档案指导，对李白文化产业园项目档案作了重点指导，并接受四川省档案局的监督检查；配合农牧局开展土地确权档案指导，协助农牧局对全市40个乡镇进行土地确权项目验收；与市扶贫办一起，抓好全市扶贫档案指导工作，先后在大堰镇及大堰镇集贤村、香水镇及香水紫宝村、小溪坝镇及小溪坝镇鲜花村进行试点，全程指导并参与整理档案。</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4、著录馆藏未数字化档案（死全宗）12个；完成“江油市智慧查阅平台”招标工作，网络化目标即将实现。</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bCs/>
          <w:color w:val="000000"/>
          <w:sz w:val="24"/>
          <w:szCs w:val="24"/>
        </w:rPr>
      </w:pPr>
      <w:r>
        <w:rPr>
          <w:rFonts w:hint="eastAsia" w:ascii="新宋体" w:hAnsi="新宋体" w:eastAsia="新宋体" w:cs="新宋体"/>
          <w:bCs/>
          <w:color w:val="000000"/>
          <w:sz w:val="24"/>
          <w:szCs w:val="24"/>
        </w:rPr>
        <w:t>5、与江油市委党史办联合编著的《四川马克思主义运动先驱•党团组织创始人——王右木》已出版成书，共70万字；《中国传统村落•江油青林村》的资料、图片收集，文字整理正在分步实施。</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bCs/>
          <w:color w:val="000000"/>
          <w:sz w:val="32"/>
          <w:szCs w:val="32"/>
        </w:rPr>
      </w:pPr>
      <w:r>
        <w:rPr>
          <w:rFonts w:hint="eastAsia" w:ascii="新宋体" w:hAnsi="新宋体" w:eastAsia="新宋体" w:cs="新宋体"/>
          <w:bCs/>
          <w:color w:val="000000"/>
          <w:sz w:val="24"/>
          <w:szCs w:val="24"/>
        </w:rPr>
        <w:t>6、审核上报国家重点档案信息8000条；编制馆藏档案数字化光盘目录178张；收集整理编写《档案为凭证，解决林权纠纷》等档案利用典型事例6则；开放“走进江油”大型档案陈列展，全年共接待参观15批次，808人；接待档案查阅利用5925人次，提供档案5374卷次，复印11193页；开展民生异地查档12例。</w:t>
      </w:r>
    </w:p>
    <w:p>
      <w:pPr>
        <w:keepNext w:val="0"/>
        <w:keepLines w:val="0"/>
        <w:pageBreakBefore w:val="0"/>
        <w:kinsoku/>
        <w:wordWrap/>
        <w:overflowPunct/>
        <w:topLinePunct w:val="0"/>
        <w:bidi w:val="0"/>
        <w:spacing w:line="360" w:lineRule="auto"/>
        <w:ind w:firstLine="640" w:firstLineChars="200"/>
        <w:textAlignment w:val="auto"/>
        <w:outlineLvl w:val="9"/>
        <w:rPr>
          <w:rFonts w:ascii="黑体" w:eastAsia="黑体"/>
          <w:color w:val="000000"/>
          <w:sz w:val="32"/>
          <w:szCs w:val="32"/>
        </w:rPr>
      </w:pPr>
      <w:r>
        <w:rPr>
          <w:rFonts w:hint="eastAsia" w:ascii="黑体" w:eastAsia="黑体"/>
          <w:color w:val="000000"/>
          <w:sz w:val="32"/>
          <w:szCs w:val="32"/>
        </w:rPr>
        <w:t>二、部门概况</w:t>
      </w:r>
    </w:p>
    <w:p>
      <w:pPr>
        <w:pStyle w:val="2"/>
        <w:keepNext w:val="0"/>
        <w:keepLines w:val="0"/>
        <w:pageBreakBefore w:val="0"/>
        <w:kinsoku/>
        <w:wordWrap/>
        <w:overflowPunct/>
        <w:topLinePunct w:val="0"/>
        <w:bidi w:val="0"/>
        <w:adjustRightInd w:val="0"/>
        <w:snapToGrid w:val="0"/>
        <w:spacing w:before="93" w:line="360" w:lineRule="auto"/>
        <w:ind w:firstLine="504" w:firstLineChars="21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江油市档案局是参照公务员管理的事业单位。内设4个股室，包括：办公室，馆务利用股，政务服务股，保卫股。</w:t>
      </w:r>
    </w:p>
    <w:p>
      <w:pPr>
        <w:keepNext w:val="0"/>
        <w:keepLines w:val="0"/>
        <w:pageBreakBefore w:val="0"/>
        <w:kinsoku/>
        <w:wordWrap/>
        <w:overflowPunct/>
        <w:topLinePunct w:val="0"/>
        <w:bidi w:val="0"/>
        <w:spacing w:line="360" w:lineRule="auto"/>
        <w:ind w:firstLine="640" w:firstLineChars="200"/>
        <w:textAlignment w:val="auto"/>
        <w:outlineLvl w:val="9"/>
        <w:rPr>
          <w:rFonts w:ascii="黑体" w:eastAsia="黑体"/>
          <w:color w:val="000000"/>
          <w:sz w:val="32"/>
          <w:szCs w:val="32"/>
        </w:rPr>
      </w:pPr>
      <w:r>
        <w:rPr>
          <w:rFonts w:hint="eastAsia" w:ascii="黑体" w:eastAsia="黑体"/>
          <w:color w:val="000000"/>
          <w:sz w:val="32"/>
          <w:szCs w:val="32"/>
        </w:rPr>
        <w:t>三、收支决算总体情况说明</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lang w:val="en-US" w:eastAsia="zh-CN"/>
        </w:rPr>
      </w:pPr>
      <w:r>
        <w:rPr>
          <w:rFonts w:hint="eastAsia" w:ascii="新宋体" w:hAnsi="新宋体" w:eastAsia="新宋体" w:cs="新宋体"/>
          <w:color w:val="000000"/>
          <w:sz w:val="24"/>
          <w:szCs w:val="24"/>
        </w:rPr>
        <w:t>2017年江油市档案局本年收入合计376.59万元，其中：一般公共预算财政拨款收入376.53万元，占99.98%；其他收入0.06万元，占0.02%。与2016年本年收入合计</w:t>
      </w:r>
      <w:r>
        <w:rPr>
          <w:rFonts w:hint="eastAsia" w:ascii="新宋体" w:hAnsi="新宋体" w:eastAsia="新宋体" w:cs="新宋体"/>
          <w:color w:val="000000"/>
          <w:sz w:val="24"/>
          <w:szCs w:val="24"/>
          <w:lang w:val="en-US" w:eastAsia="zh-CN"/>
        </w:rPr>
        <w:t>209.96</w:t>
      </w:r>
      <w:r>
        <w:rPr>
          <w:rFonts w:hint="eastAsia" w:ascii="新宋体" w:hAnsi="新宋体" w:eastAsia="新宋体" w:cs="新宋体"/>
          <w:color w:val="000000"/>
          <w:sz w:val="24"/>
          <w:szCs w:val="24"/>
        </w:rPr>
        <w:t>万元相比，增加</w:t>
      </w:r>
      <w:r>
        <w:rPr>
          <w:rFonts w:hint="eastAsia" w:ascii="新宋体" w:hAnsi="新宋体" w:eastAsia="新宋体" w:cs="新宋体"/>
          <w:color w:val="000000"/>
          <w:sz w:val="24"/>
          <w:szCs w:val="24"/>
          <w:lang w:val="en-US" w:eastAsia="zh-CN"/>
        </w:rPr>
        <w:t>166.63</w:t>
      </w:r>
      <w:r>
        <w:rPr>
          <w:rFonts w:hint="eastAsia" w:ascii="新宋体" w:hAnsi="新宋体" w:eastAsia="新宋体" w:cs="新宋体"/>
          <w:color w:val="000000"/>
          <w:sz w:val="24"/>
          <w:szCs w:val="24"/>
        </w:rPr>
        <w:t>万元，增长</w:t>
      </w:r>
      <w:r>
        <w:rPr>
          <w:rFonts w:hint="eastAsia" w:ascii="新宋体" w:hAnsi="新宋体" w:eastAsia="新宋体" w:cs="新宋体"/>
          <w:color w:val="000000"/>
          <w:sz w:val="24"/>
          <w:szCs w:val="24"/>
          <w:lang w:val="en-US" w:eastAsia="zh-CN"/>
        </w:rPr>
        <w:t>79.36</w:t>
      </w:r>
      <w:r>
        <w:rPr>
          <w:rFonts w:hint="eastAsia" w:ascii="新宋体" w:hAnsi="新宋体" w:eastAsia="新宋体" w:cs="新宋体"/>
          <w:color w:val="000000"/>
          <w:sz w:val="24"/>
          <w:szCs w:val="24"/>
        </w:rPr>
        <w:t>%。主要原因是</w:t>
      </w:r>
      <w:r>
        <w:rPr>
          <w:rFonts w:hint="eastAsia" w:ascii="新宋体" w:hAnsi="新宋体" w:eastAsia="新宋体" w:cs="新宋体"/>
          <w:color w:val="000000"/>
          <w:sz w:val="24"/>
          <w:szCs w:val="24"/>
          <w:lang w:eastAsia="zh-CN"/>
        </w:rPr>
        <w:t>档案信息智能化管理查阅平台</w:t>
      </w:r>
      <w:bookmarkStart w:id="0" w:name="_GoBack"/>
      <w:bookmarkEnd w:id="0"/>
      <w:r>
        <w:rPr>
          <w:rFonts w:hint="eastAsia" w:ascii="新宋体" w:hAnsi="新宋体" w:eastAsia="新宋体" w:cs="新宋体"/>
          <w:color w:val="000000"/>
          <w:sz w:val="24"/>
          <w:szCs w:val="24"/>
          <w:lang w:eastAsia="zh-CN"/>
        </w:rPr>
        <w:t>建设。</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r>
        <w:rPr>
          <w:rFonts w:hint="eastAsia" w:ascii="仿宋_GB2312" w:eastAsia="仿宋_GB2312"/>
          <w:color w:val="000000"/>
          <w:sz w:val="32"/>
          <w:szCs w:val="32"/>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173355</wp:posOffset>
            </wp:positionV>
            <wp:extent cx="5274310" cy="3076575"/>
            <wp:effectExtent l="19050" t="0" r="2159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2017年江油市档案局本年支出合计378.5</w:t>
      </w:r>
      <w:r>
        <w:rPr>
          <w:rFonts w:hint="eastAsia" w:ascii="新宋体" w:hAnsi="新宋体" w:eastAsia="新宋体" w:cs="新宋体"/>
          <w:color w:val="000000"/>
          <w:sz w:val="24"/>
          <w:szCs w:val="24"/>
          <w:lang w:val="en-US" w:eastAsia="zh-CN"/>
        </w:rPr>
        <w:t>8</w:t>
      </w:r>
      <w:r>
        <w:rPr>
          <w:rFonts w:hint="eastAsia" w:ascii="新宋体" w:hAnsi="新宋体" w:eastAsia="新宋体" w:cs="新宋体"/>
          <w:color w:val="000000"/>
          <w:sz w:val="24"/>
          <w:szCs w:val="24"/>
        </w:rPr>
        <w:t>万元，其中：基本支出215.0</w:t>
      </w:r>
      <w:r>
        <w:rPr>
          <w:rFonts w:hint="eastAsia" w:ascii="新宋体" w:hAnsi="新宋体" w:eastAsia="新宋体" w:cs="新宋体"/>
          <w:color w:val="000000"/>
          <w:sz w:val="24"/>
          <w:szCs w:val="24"/>
          <w:lang w:val="en-US" w:eastAsia="zh-CN"/>
        </w:rPr>
        <w:t>4</w:t>
      </w:r>
      <w:r>
        <w:rPr>
          <w:rFonts w:hint="eastAsia" w:ascii="新宋体" w:hAnsi="新宋体" w:eastAsia="新宋体" w:cs="新宋体"/>
          <w:color w:val="000000"/>
          <w:sz w:val="24"/>
          <w:szCs w:val="24"/>
        </w:rPr>
        <w:t>万元，占56.80%；项目支出163.54万元，占43.20%；与2016年本年支出合计</w:t>
      </w:r>
      <w:r>
        <w:rPr>
          <w:rFonts w:hint="eastAsia" w:ascii="新宋体" w:hAnsi="新宋体" w:eastAsia="新宋体" w:cs="新宋体"/>
          <w:color w:val="000000"/>
          <w:sz w:val="24"/>
          <w:szCs w:val="24"/>
          <w:lang w:val="en-US" w:eastAsia="zh-CN"/>
        </w:rPr>
        <w:t>206.91</w:t>
      </w:r>
      <w:r>
        <w:rPr>
          <w:rFonts w:hint="eastAsia" w:ascii="新宋体" w:hAnsi="新宋体" w:eastAsia="新宋体" w:cs="新宋体"/>
          <w:color w:val="000000"/>
          <w:sz w:val="24"/>
          <w:szCs w:val="24"/>
        </w:rPr>
        <w:t>万元相比，增加</w:t>
      </w:r>
      <w:r>
        <w:rPr>
          <w:rFonts w:hint="eastAsia" w:ascii="新宋体" w:hAnsi="新宋体" w:eastAsia="新宋体" w:cs="新宋体"/>
          <w:color w:val="000000"/>
          <w:sz w:val="24"/>
          <w:szCs w:val="24"/>
          <w:lang w:val="en-US" w:eastAsia="zh-CN"/>
        </w:rPr>
        <w:t>171.67</w:t>
      </w:r>
      <w:r>
        <w:rPr>
          <w:rFonts w:hint="eastAsia" w:ascii="新宋体" w:hAnsi="新宋体" w:eastAsia="新宋体" w:cs="新宋体"/>
          <w:color w:val="000000"/>
          <w:sz w:val="24"/>
          <w:szCs w:val="24"/>
        </w:rPr>
        <w:t>万元，增长</w:t>
      </w:r>
      <w:r>
        <w:rPr>
          <w:rFonts w:hint="eastAsia" w:ascii="新宋体" w:hAnsi="新宋体" w:eastAsia="新宋体" w:cs="新宋体"/>
          <w:color w:val="000000"/>
          <w:sz w:val="24"/>
          <w:szCs w:val="24"/>
          <w:lang w:val="en-US" w:eastAsia="zh-CN"/>
        </w:rPr>
        <w:t>82.96</w:t>
      </w:r>
      <w:r>
        <w:rPr>
          <w:rFonts w:hint="eastAsia" w:ascii="新宋体" w:hAnsi="新宋体" w:eastAsia="新宋体" w:cs="新宋体"/>
          <w:color w:val="000000"/>
          <w:sz w:val="24"/>
          <w:szCs w:val="24"/>
        </w:rPr>
        <w:t>%。主要原因是</w:t>
      </w:r>
      <w:r>
        <w:rPr>
          <w:rFonts w:hint="eastAsia" w:ascii="新宋体" w:hAnsi="新宋体" w:eastAsia="新宋体" w:cs="新宋体"/>
          <w:color w:val="000000"/>
          <w:sz w:val="24"/>
          <w:szCs w:val="24"/>
          <w:lang w:eastAsia="zh-CN"/>
        </w:rPr>
        <w:t>档案信息智能化管理查阅平台建设</w:t>
      </w:r>
      <w:r>
        <w:rPr>
          <w:rFonts w:hint="eastAsia" w:ascii="新宋体" w:hAnsi="新宋体" w:eastAsia="新宋体" w:cs="新宋体"/>
          <w:color w:val="000000"/>
          <w:sz w:val="24"/>
          <w:szCs w:val="24"/>
        </w:rPr>
        <w:t>。</w:t>
      </w: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1312" behindDoc="0" locked="0" layoutInCell="1" allowOverlap="1">
            <wp:simplePos x="0" y="0"/>
            <wp:positionH relativeFrom="column">
              <wp:posOffset>76200</wp:posOffset>
            </wp:positionH>
            <wp:positionV relativeFrom="paragraph">
              <wp:posOffset>175895</wp:posOffset>
            </wp:positionV>
            <wp:extent cx="5274310" cy="3076575"/>
            <wp:effectExtent l="19050" t="0" r="2159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hint="eastAsia" w:ascii="黑体" w:eastAsia="黑体"/>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hint="eastAsia" w:ascii="黑体" w:eastAsia="黑体"/>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r>
        <w:rPr>
          <w:rFonts w:hint="eastAsia" w:ascii="黑体" w:eastAsia="黑体"/>
          <w:color w:val="000000"/>
          <w:sz w:val="32"/>
          <w:szCs w:val="32"/>
        </w:rPr>
        <w:t>四、财政拨款收入支出决算总体情况说明</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2017年度财政拨款收入总计376.5</w:t>
      </w: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万元、支出总计378.5</w:t>
      </w: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万元。与2016年相比，财政拨款收入总计增加166.63万元，增长79.3</w:t>
      </w:r>
      <w:r>
        <w:rPr>
          <w:rFonts w:hint="eastAsia" w:ascii="新宋体" w:hAnsi="新宋体" w:eastAsia="新宋体" w:cs="新宋体"/>
          <w:color w:val="000000"/>
          <w:sz w:val="24"/>
          <w:szCs w:val="24"/>
          <w:lang w:val="en-US" w:eastAsia="zh-CN"/>
        </w:rPr>
        <w:t>9</w:t>
      </w:r>
      <w:r>
        <w:rPr>
          <w:rFonts w:hint="eastAsia" w:ascii="新宋体" w:hAnsi="新宋体" w:eastAsia="新宋体" w:cs="新宋体"/>
          <w:color w:val="000000"/>
          <w:sz w:val="24"/>
          <w:szCs w:val="24"/>
        </w:rPr>
        <w:t>%、支出总计增加171.6</w:t>
      </w:r>
      <w:r>
        <w:rPr>
          <w:rFonts w:hint="eastAsia" w:ascii="新宋体" w:hAnsi="新宋体" w:eastAsia="新宋体" w:cs="新宋体"/>
          <w:color w:val="000000"/>
          <w:sz w:val="24"/>
          <w:szCs w:val="24"/>
          <w:lang w:val="en-US" w:eastAsia="zh-CN"/>
        </w:rPr>
        <w:t>7</w:t>
      </w:r>
      <w:r>
        <w:rPr>
          <w:rFonts w:hint="eastAsia" w:ascii="新宋体" w:hAnsi="新宋体" w:eastAsia="新宋体" w:cs="新宋体"/>
          <w:color w:val="000000"/>
          <w:sz w:val="24"/>
          <w:szCs w:val="24"/>
        </w:rPr>
        <w:t>万元，增长82.9</w:t>
      </w:r>
      <w:r>
        <w:rPr>
          <w:rFonts w:hint="eastAsia" w:ascii="新宋体" w:hAnsi="新宋体" w:eastAsia="新宋体" w:cs="新宋体"/>
          <w:color w:val="000000"/>
          <w:sz w:val="24"/>
          <w:szCs w:val="24"/>
          <w:lang w:val="en-US" w:eastAsia="zh-CN"/>
        </w:rPr>
        <w:t>9</w:t>
      </w:r>
      <w:r>
        <w:rPr>
          <w:rFonts w:hint="eastAsia" w:ascii="新宋体" w:hAnsi="新宋体" w:eastAsia="新宋体" w:cs="新宋体"/>
          <w:color w:val="000000"/>
          <w:sz w:val="24"/>
          <w:szCs w:val="24"/>
        </w:rPr>
        <w:t>%。</w:t>
      </w: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3360" behindDoc="0" locked="0" layoutInCell="1" allowOverlap="1">
            <wp:simplePos x="0" y="0"/>
            <wp:positionH relativeFrom="column">
              <wp:posOffset>276225</wp:posOffset>
            </wp:positionH>
            <wp:positionV relativeFrom="paragraph">
              <wp:posOffset>228600</wp:posOffset>
            </wp:positionV>
            <wp:extent cx="5274310" cy="3076575"/>
            <wp:effectExtent l="19050" t="0" r="2159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黑体" w:eastAsia="黑体"/>
          <w:color w:val="000000"/>
          <w:sz w:val="32"/>
          <w:szCs w:val="32"/>
        </w:rPr>
      </w:pPr>
      <w:r>
        <w:rPr>
          <w:rFonts w:hint="eastAsia" w:ascii="黑体" w:eastAsia="黑体"/>
          <w:color w:val="000000"/>
          <w:sz w:val="32"/>
          <w:szCs w:val="32"/>
        </w:rPr>
        <w:t>五、一般公共预算财政拨款支出决算情况说明</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（一）一般公共预算财政拨款支出决算总体情况</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2017年度一般公共预算财政拨款支出378.53万元，占本年支出合计的99.99%。与2016年相比，一般公共预算财政拨款增加171.67万元，增长82.99%。</w:t>
      </w: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5408" behindDoc="0" locked="0" layoutInCell="1" allowOverlap="1">
            <wp:simplePos x="0" y="0"/>
            <wp:positionH relativeFrom="column">
              <wp:posOffset>304800</wp:posOffset>
            </wp:positionH>
            <wp:positionV relativeFrom="paragraph">
              <wp:posOffset>257175</wp:posOffset>
            </wp:positionV>
            <wp:extent cx="5274310" cy="3076575"/>
            <wp:effectExtent l="19050" t="0" r="2159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firstLineChars="20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（二）一般公共预算财政拨款支出决算结构情况</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2017年一般公共预算财政拨款支出378.53万元，主要用于以下方面:一般公共服务支出335.0</w:t>
      </w:r>
      <w:r>
        <w:rPr>
          <w:rFonts w:hint="eastAsia" w:ascii="新宋体" w:hAnsi="新宋体" w:eastAsia="新宋体" w:cs="新宋体"/>
          <w:color w:val="000000"/>
          <w:sz w:val="24"/>
          <w:szCs w:val="24"/>
          <w:lang w:val="en-US" w:eastAsia="zh-CN"/>
        </w:rPr>
        <w:t>5</w:t>
      </w:r>
      <w:r>
        <w:rPr>
          <w:rFonts w:hint="eastAsia" w:ascii="新宋体" w:hAnsi="新宋体" w:eastAsia="新宋体" w:cs="新宋体"/>
          <w:color w:val="000000"/>
          <w:sz w:val="24"/>
          <w:szCs w:val="24"/>
        </w:rPr>
        <w:t>万元，占88.52%；教育支出1.41万元，占0.37%；社会保障和就业支出36.2</w:t>
      </w:r>
      <w:r>
        <w:rPr>
          <w:rFonts w:hint="eastAsia" w:ascii="新宋体" w:hAnsi="新宋体" w:eastAsia="新宋体" w:cs="新宋体"/>
          <w:color w:val="000000"/>
          <w:sz w:val="24"/>
          <w:szCs w:val="24"/>
          <w:lang w:val="en-US" w:eastAsia="zh-CN"/>
        </w:rPr>
        <w:t>2</w:t>
      </w:r>
      <w:r>
        <w:rPr>
          <w:rFonts w:hint="eastAsia" w:ascii="新宋体" w:hAnsi="新宋体" w:eastAsia="新宋体" w:cs="新宋体"/>
          <w:color w:val="000000"/>
          <w:sz w:val="24"/>
          <w:szCs w:val="24"/>
        </w:rPr>
        <w:t>万元，占9.57%；医疗卫生支出5.84万元，占1.54%。</w:t>
      </w: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7456" behindDoc="0" locked="0" layoutInCell="1" allowOverlap="1">
            <wp:simplePos x="0" y="0"/>
            <wp:positionH relativeFrom="column">
              <wp:posOffset>200025</wp:posOffset>
            </wp:positionH>
            <wp:positionV relativeFrom="paragraph">
              <wp:posOffset>293370</wp:posOffset>
            </wp:positionV>
            <wp:extent cx="5274310" cy="3076575"/>
            <wp:effectExtent l="19050" t="0" r="2159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（三）一般公共预算财政拨款支出决算具体情况</w:t>
      </w:r>
    </w:p>
    <w:p>
      <w:pPr>
        <w:keepNext w:val="0"/>
        <w:keepLines w:val="0"/>
        <w:pageBreakBefore w:val="0"/>
        <w:kinsoku/>
        <w:wordWrap/>
        <w:overflowPunct/>
        <w:topLinePunct w:val="0"/>
        <w:bidi w:val="0"/>
        <w:spacing w:line="360" w:lineRule="auto"/>
        <w:ind w:firstLine="643"/>
        <w:textAlignment w:val="auto"/>
        <w:outlineLvl w:val="9"/>
        <w:rPr>
          <w:rStyle w:val="6"/>
          <w:rFonts w:hint="eastAsia" w:ascii="新宋体" w:hAnsi="新宋体" w:eastAsia="新宋体" w:cs="新宋体"/>
          <w:b w:val="0"/>
          <w:color w:val="000000"/>
          <w:sz w:val="24"/>
          <w:szCs w:val="24"/>
        </w:rPr>
      </w:pPr>
      <w:r>
        <w:rPr>
          <w:rStyle w:val="6"/>
          <w:rFonts w:hint="eastAsia" w:ascii="新宋体" w:hAnsi="新宋体" w:eastAsia="新宋体" w:cs="新宋体"/>
          <w:b w:val="0"/>
          <w:bCs w:val="0"/>
          <w:color w:val="000000"/>
          <w:sz w:val="24"/>
          <w:szCs w:val="24"/>
        </w:rPr>
        <w:t>1.</w:t>
      </w:r>
      <w:r>
        <w:rPr>
          <w:rStyle w:val="6"/>
          <w:rFonts w:hint="eastAsia" w:ascii="新宋体" w:hAnsi="新宋体" w:eastAsia="新宋体" w:cs="新宋体"/>
          <w:color w:val="000000"/>
          <w:sz w:val="24"/>
          <w:szCs w:val="24"/>
        </w:rPr>
        <w:t>一般公共服务（类）档案事务（款）行政运行（项）:</w:t>
      </w:r>
      <w:r>
        <w:rPr>
          <w:rStyle w:val="6"/>
          <w:rFonts w:hint="eastAsia" w:ascii="新宋体" w:hAnsi="新宋体" w:eastAsia="新宋体" w:cs="新宋体"/>
          <w:b w:val="0"/>
          <w:color w:val="000000"/>
          <w:sz w:val="24"/>
          <w:szCs w:val="24"/>
        </w:rPr>
        <w:t xml:space="preserve"> 支出决算为171.50万元，完成预算100%。</w:t>
      </w:r>
    </w:p>
    <w:p>
      <w:pPr>
        <w:keepNext w:val="0"/>
        <w:keepLines w:val="0"/>
        <w:pageBreakBefore w:val="0"/>
        <w:kinsoku/>
        <w:wordWrap/>
        <w:overflowPunct/>
        <w:topLinePunct w:val="0"/>
        <w:bidi w:val="0"/>
        <w:spacing w:line="360" w:lineRule="auto"/>
        <w:ind w:firstLine="643"/>
        <w:textAlignment w:val="auto"/>
        <w:outlineLvl w:val="9"/>
        <w:rPr>
          <w:rStyle w:val="6"/>
          <w:rFonts w:hint="eastAsia" w:ascii="新宋体" w:hAnsi="新宋体" w:eastAsia="新宋体" w:cs="新宋体"/>
          <w:b w:val="0"/>
          <w:color w:val="000000"/>
          <w:sz w:val="24"/>
          <w:szCs w:val="24"/>
        </w:rPr>
      </w:pPr>
      <w:r>
        <w:rPr>
          <w:rStyle w:val="6"/>
          <w:rFonts w:hint="eastAsia" w:ascii="新宋体" w:hAnsi="新宋体" w:eastAsia="新宋体" w:cs="新宋体"/>
          <w:b w:val="0"/>
          <w:bCs w:val="0"/>
          <w:color w:val="000000"/>
          <w:sz w:val="24"/>
          <w:szCs w:val="24"/>
        </w:rPr>
        <w:t>2.</w:t>
      </w:r>
      <w:r>
        <w:rPr>
          <w:rStyle w:val="6"/>
          <w:rFonts w:hint="eastAsia" w:ascii="新宋体" w:hAnsi="新宋体" w:eastAsia="新宋体" w:cs="新宋体"/>
          <w:color w:val="000000"/>
          <w:sz w:val="24"/>
          <w:szCs w:val="24"/>
        </w:rPr>
        <w:t>一般公共服务（类）档案事务（款）一般行政管理事务（项）:</w:t>
      </w:r>
      <w:r>
        <w:rPr>
          <w:rStyle w:val="6"/>
          <w:rFonts w:hint="eastAsia" w:ascii="新宋体" w:hAnsi="新宋体" w:eastAsia="新宋体" w:cs="新宋体"/>
          <w:b w:val="0"/>
          <w:color w:val="000000"/>
          <w:sz w:val="24"/>
          <w:szCs w:val="24"/>
        </w:rPr>
        <w:t xml:space="preserve"> 支出决算为130.05万元，完成预算100%。</w:t>
      </w:r>
    </w:p>
    <w:p>
      <w:pPr>
        <w:keepNext w:val="0"/>
        <w:keepLines w:val="0"/>
        <w:pageBreakBefore w:val="0"/>
        <w:kinsoku/>
        <w:wordWrap/>
        <w:overflowPunct/>
        <w:topLinePunct w:val="0"/>
        <w:bidi w:val="0"/>
        <w:spacing w:line="360" w:lineRule="auto"/>
        <w:ind w:firstLine="643"/>
        <w:textAlignment w:val="auto"/>
        <w:outlineLvl w:val="9"/>
        <w:rPr>
          <w:rStyle w:val="6"/>
          <w:rFonts w:hint="eastAsia" w:ascii="新宋体" w:hAnsi="新宋体" w:eastAsia="新宋体" w:cs="新宋体"/>
          <w:b w:val="0"/>
          <w:color w:val="000000"/>
          <w:sz w:val="24"/>
          <w:szCs w:val="24"/>
        </w:rPr>
      </w:pPr>
      <w:r>
        <w:rPr>
          <w:rStyle w:val="6"/>
          <w:rFonts w:hint="eastAsia" w:ascii="新宋体" w:hAnsi="新宋体" w:eastAsia="新宋体" w:cs="新宋体"/>
          <w:b w:val="0"/>
          <w:bCs w:val="0"/>
          <w:color w:val="000000"/>
          <w:sz w:val="24"/>
          <w:szCs w:val="24"/>
        </w:rPr>
        <w:t>3.</w:t>
      </w:r>
      <w:r>
        <w:rPr>
          <w:rStyle w:val="6"/>
          <w:rFonts w:hint="eastAsia" w:ascii="新宋体" w:hAnsi="新宋体" w:eastAsia="新宋体" w:cs="新宋体"/>
          <w:color w:val="000000"/>
          <w:sz w:val="24"/>
          <w:szCs w:val="24"/>
        </w:rPr>
        <w:t>一般公共服务（类）档案事务（款）档案馆（项）:</w:t>
      </w:r>
      <w:r>
        <w:rPr>
          <w:rStyle w:val="6"/>
          <w:rFonts w:hint="eastAsia" w:ascii="新宋体" w:hAnsi="新宋体" w:eastAsia="新宋体" w:cs="新宋体"/>
          <w:b w:val="0"/>
          <w:color w:val="000000"/>
          <w:sz w:val="24"/>
          <w:szCs w:val="24"/>
        </w:rPr>
        <w:t xml:space="preserve"> 支出决算为15.51万元，完成预算100%。</w:t>
      </w:r>
    </w:p>
    <w:p>
      <w:pPr>
        <w:keepNext w:val="0"/>
        <w:keepLines w:val="0"/>
        <w:pageBreakBefore w:val="0"/>
        <w:kinsoku/>
        <w:wordWrap/>
        <w:overflowPunct/>
        <w:topLinePunct w:val="0"/>
        <w:bidi w:val="0"/>
        <w:spacing w:line="360" w:lineRule="auto"/>
        <w:ind w:firstLine="643"/>
        <w:textAlignment w:val="auto"/>
        <w:outlineLvl w:val="9"/>
        <w:rPr>
          <w:rFonts w:hint="eastAsia" w:ascii="新宋体" w:hAnsi="新宋体" w:eastAsia="新宋体" w:cs="新宋体"/>
          <w:bCs/>
          <w:color w:val="000000"/>
          <w:sz w:val="24"/>
          <w:szCs w:val="24"/>
        </w:rPr>
      </w:pPr>
      <w:r>
        <w:rPr>
          <w:rStyle w:val="6"/>
          <w:rFonts w:hint="eastAsia" w:ascii="新宋体" w:hAnsi="新宋体" w:eastAsia="新宋体" w:cs="新宋体"/>
          <w:b w:val="0"/>
          <w:bCs w:val="0"/>
          <w:color w:val="000000"/>
          <w:sz w:val="24"/>
          <w:szCs w:val="24"/>
        </w:rPr>
        <w:t>4.</w:t>
      </w:r>
      <w:r>
        <w:rPr>
          <w:rStyle w:val="6"/>
          <w:rFonts w:hint="eastAsia" w:ascii="新宋体" w:hAnsi="新宋体" w:eastAsia="新宋体" w:cs="新宋体"/>
          <w:color w:val="000000"/>
          <w:sz w:val="24"/>
          <w:szCs w:val="24"/>
        </w:rPr>
        <w:t>一般公共服务（类）档案事务（款）其他档案事务支出（项）:</w:t>
      </w:r>
      <w:r>
        <w:rPr>
          <w:rStyle w:val="6"/>
          <w:rFonts w:hint="eastAsia" w:ascii="新宋体" w:hAnsi="新宋体" w:eastAsia="新宋体" w:cs="新宋体"/>
          <w:b w:val="0"/>
          <w:color w:val="000000"/>
          <w:sz w:val="24"/>
          <w:szCs w:val="24"/>
        </w:rPr>
        <w:t xml:space="preserve"> 支出决算为18.01万元，完成预算100%。</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b/>
          <w:color w:val="000000"/>
          <w:sz w:val="24"/>
          <w:szCs w:val="24"/>
        </w:rPr>
      </w:pPr>
      <w:r>
        <w:rPr>
          <w:rStyle w:val="6"/>
          <w:rFonts w:hint="eastAsia" w:ascii="新宋体" w:hAnsi="新宋体" w:eastAsia="新宋体" w:cs="新宋体"/>
          <w:color w:val="000000"/>
          <w:sz w:val="24"/>
          <w:szCs w:val="24"/>
        </w:rPr>
        <w:t>5.教育（类）进修及培训（款）培训支出（项）:</w:t>
      </w:r>
      <w:r>
        <w:rPr>
          <w:rStyle w:val="6"/>
          <w:rFonts w:hint="eastAsia" w:ascii="新宋体" w:hAnsi="新宋体" w:eastAsia="新宋体" w:cs="新宋体"/>
          <w:b w:val="0"/>
          <w:color w:val="000000"/>
          <w:sz w:val="24"/>
          <w:szCs w:val="24"/>
        </w:rPr>
        <w:t xml:space="preserve"> 支出决算为1.41万元，完成预算100%。</w:t>
      </w:r>
    </w:p>
    <w:p>
      <w:pPr>
        <w:keepNext w:val="0"/>
        <w:keepLines w:val="0"/>
        <w:pageBreakBefore w:val="0"/>
        <w:kinsoku/>
        <w:wordWrap/>
        <w:overflowPunct/>
        <w:topLinePunct w:val="0"/>
        <w:bidi w:val="0"/>
        <w:spacing w:line="360" w:lineRule="auto"/>
        <w:ind w:firstLine="482" w:firstLineChars="200"/>
        <w:textAlignment w:val="auto"/>
        <w:outlineLvl w:val="9"/>
        <w:rPr>
          <w:rStyle w:val="6"/>
          <w:rFonts w:hint="eastAsia" w:ascii="新宋体" w:hAnsi="新宋体" w:eastAsia="新宋体" w:cs="新宋体"/>
          <w:b w:val="0"/>
          <w:color w:val="000000"/>
          <w:sz w:val="24"/>
          <w:szCs w:val="24"/>
        </w:rPr>
      </w:pPr>
      <w:r>
        <w:rPr>
          <w:rStyle w:val="6"/>
          <w:rFonts w:hint="eastAsia" w:ascii="新宋体" w:hAnsi="新宋体" w:eastAsia="新宋体" w:cs="新宋体"/>
          <w:color w:val="000000"/>
          <w:sz w:val="24"/>
          <w:szCs w:val="24"/>
        </w:rPr>
        <w:t>6.社会保障和就业支出（类）行政事业单位离退休（款）归口管理的行政单位离退休（项）:</w:t>
      </w:r>
      <w:r>
        <w:rPr>
          <w:rStyle w:val="6"/>
          <w:rFonts w:hint="eastAsia" w:ascii="新宋体" w:hAnsi="新宋体" w:eastAsia="新宋体" w:cs="新宋体"/>
          <w:b w:val="0"/>
          <w:color w:val="000000"/>
          <w:sz w:val="24"/>
          <w:szCs w:val="24"/>
        </w:rPr>
        <w:t xml:space="preserve"> 支出决算为15.52万元，完成预算100%。</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b/>
          <w:bCs/>
          <w:color w:val="000000"/>
          <w:sz w:val="24"/>
          <w:szCs w:val="24"/>
        </w:rPr>
      </w:pPr>
      <w:r>
        <w:rPr>
          <w:rStyle w:val="6"/>
          <w:rFonts w:hint="eastAsia" w:ascii="新宋体" w:hAnsi="新宋体" w:eastAsia="新宋体" w:cs="新宋体"/>
          <w:color w:val="000000"/>
          <w:sz w:val="24"/>
          <w:szCs w:val="24"/>
        </w:rPr>
        <w:t>7.社会保障和就业支出（类）行政事业单位离退休（款）事业单位离退休（项）:</w:t>
      </w:r>
      <w:r>
        <w:rPr>
          <w:rStyle w:val="6"/>
          <w:rFonts w:hint="eastAsia" w:ascii="新宋体" w:hAnsi="新宋体" w:eastAsia="新宋体" w:cs="新宋体"/>
          <w:b w:val="0"/>
          <w:color w:val="000000"/>
          <w:sz w:val="24"/>
          <w:szCs w:val="24"/>
        </w:rPr>
        <w:t xml:space="preserve"> 支出决算为0.36万元，完成预算100%。</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b/>
          <w:bCs/>
          <w:color w:val="000000"/>
          <w:sz w:val="24"/>
          <w:szCs w:val="24"/>
        </w:rPr>
      </w:pPr>
      <w:r>
        <w:rPr>
          <w:rStyle w:val="6"/>
          <w:rFonts w:hint="eastAsia" w:ascii="新宋体" w:hAnsi="新宋体" w:eastAsia="新宋体" w:cs="新宋体"/>
          <w:color w:val="000000"/>
          <w:sz w:val="24"/>
          <w:szCs w:val="24"/>
        </w:rPr>
        <w:t>8.社会保障和就业支出（类）行政事业单位离退休（款）机关事业单位基本养老保险缴费支出（项）:</w:t>
      </w:r>
      <w:r>
        <w:rPr>
          <w:rStyle w:val="6"/>
          <w:rFonts w:hint="eastAsia" w:ascii="新宋体" w:hAnsi="新宋体" w:eastAsia="新宋体" w:cs="新宋体"/>
          <w:b w:val="0"/>
          <w:color w:val="000000"/>
          <w:sz w:val="24"/>
          <w:szCs w:val="24"/>
        </w:rPr>
        <w:t xml:space="preserve"> 支出决算为19.73万元，完成预算100%。</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bCs/>
          <w:color w:val="000000"/>
          <w:sz w:val="24"/>
          <w:szCs w:val="24"/>
        </w:rPr>
      </w:pPr>
      <w:r>
        <w:rPr>
          <w:rStyle w:val="6"/>
          <w:rFonts w:hint="eastAsia" w:ascii="新宋体" w:hAnsi="新宋体" w:eastAsia="新宋体" w:cs="新宋体"/>
          <w:color w:val="000000"/>
          <w:sz w:val="24"/>
          <w:szCs w:val="24"/>
        </w:rPr>
        <w:t>9.社会保障和就业支出（类）抚恤（款）死亡抚恤（项）:</w:t>
      </w:r>
      <w:r>
        <w:rPr>
          <w:rStyle w:val="6"/>
          <w:rFonts w:hint="eastAsia" w:ascii="新宋体" w:hAnsi="新宋体" w:eastAsia="新宋体" w:cs="新宋体"/>
          <w:b w:val="0"/>
          <w:color w:val="000000"/>
          <w:sz w:val="24"/>
          <w:szCs w:val="24"/>
        </w:rPr>
        <w:t xml:space="preserve"> 支出决算为0.6万元，完成预算100%。</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b/>
          <w:color w:val="000000"/>
          <w:sz w:val="24"/>
          <w:szCs w:val="24"/>
        </w:rPr>
      </w:pPr>
      <w:r>
        <w:rPr>
          <w:rStyle w:val="6"/>
          <w:rFonts w:hint="eastAsia" w:ascii="新宋体" w:hAnsi="新宋体" w:eastAsia="新宋体" w:cs="新宋体"/>
          <w:color w:val="000000"/>
          <w:sz w:val="24"/>
          <w:szCs w:val="24"/>
        </w:rPr>
        <w:t>10.医疗卫生与计划生育（类）行政事业单位医疗（款）行政单位医疗（项）:</w:t>
      </w:r>
      <w:r>
        <w:rPr>
          <w:rStyle w:val="6"/>
          <w:rFonts w:hint="eastAsia" w:ascii="新宋体" w:hAnsi="新宋体" w:eastAsia="新宋体" w:cs="新宋体"/>
          <w:b w:val="0"/>
          <w:color w:val="000000"/>
          <w:sz w:val="24"/>
          <w:szCs w:val="24"/>
        </w:rPr>
        <w:t>支出决算为5.84万元，完成预算100%。</w:t>
      </w:r>
    </w:p>
    <w:p>
      <w:pPr>
        <w:keepNext w:val="0"/>
        <w:keepLines w:val="0"/>
        <w:pageBreakBefore w:val="0"/>
        <w:kinsoku/>
        <w:wordWrap/>
        <w:overflowPunct/>
        <w:topLinePunct w:val="0"/>
        <w:bidi w:val="0"/>
        <w:spacing w:line="360" w:lineRule="auto"/>
        <w:ind w:firstLine="640"/>
        <w:textAlignment w:val="auto"/>
        <w:outlineLvl w:val="9"/>
        <w:rPr>
          <w:rFonts w:ascii="黑体" w:eastAsia="黑体"/>
          <w:color w:val="000000"/>
          <w:sz w:val="32"/>
          <w:szCs w:val="32"/>
        </w:rPr>
      </w:pPr>
      <w:r>
        <w:rPr>
          <w:rFonts w:hint="eastAsia" w:ascii="黑体" w:eastAsia="黑体"/>
          <w:color w:val="000000"/>
          <w:sz w:val="32"/>
          <w:szCs w:val="32"/>
        </w:rPr>
        <w:t>六、一般公共预算财政拨款基本支出决算情况说明</w:t>
      </w:r>
    </w:p>
    <w:p>
      <w:pPr>
        <w:keepNext w:val="0"/>
        <w:keepLines w:val="0"/>
        <w:pageBreakBefore w:val="0"/>
        <w:kinsoku/>
        <w:wordWrap/>
        <w:overflowPunct/>
        <w:topLinePunct w:val="0"/>
        <w:bidi w:val="0"/>
        <w:spacing w:line="360" w:lineRule="auto"/>
        <w:ind w:firstLine="645"/>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2017年度一般公共预算财政拨款基本支出214.99万元，其中：</w:t>
      </w:r>
    </w:p>
    <w:p>
      <w:pPr>
        <w:keepNext w:val="0"/>
        <w:keepLines w:val="0"/>
        <w:pageBreakBefore w:val="0"/>
        <w:kinsoku/>
        <w:wordWrap/>
        <w:overflowPunct/>
        <w:topLinePunct w:val="0"/>
        <w:bidi w:val="0"/>
        <w:spacing w:line="360" w:lineRule="auto"/>
        <w:ind w:firstLine="645"/>
        <w:textAlignment w:val="auto"/>
        <w:outlineLvl w:val="9"/>
        <w:rPr>
          <w:rFonts w:ascii="仿宋_GB2312" w:eastAsia="仿宋_GB2312"/>
          <w:color w:val="000000"/>
          <w:sz w:val="32"/>
          <w:szCs w:val="32"/>
        </w:rPr>
      </w:pPr>
      <w:r>
        <w:rPr>
          <w:rFonts w:hint="eastAsia" w:ascii="新宋体" w:hAnsi="新宋体" w:eastAsia="新宋体" w:cs="新宋体"/>
          <w:color w:val="000000"/>
          <w:sz w:val="24"/>
          <w:szCs w:val="24"/>
        </w:rPr>
        <w:t>人员经费182.76万元，主要包括：基本工资、津贴补贴、奖金、机关事业单位基本养老保险缴费、其他社会保障缴费、抚恤金、生活补助、奖励金、住房公积金等。</w:t>
      </w:r>
      <w:r>
        <w:rPr>
          <w:rFonts w:hint="eastAsia" w:ascii="新宋体" w:hAnsi="新宋体" w:eastAsia="新宋体" w:cs="新宋体"/>
          <w:color w:val="000000"/>
          <w:sz w:val="24"/>
          <w:szCs w:val="24"/>
        </w:rPr>
        <w:br w:type="textWrapping"/>
      </w:r>
      <w:r>
        <w:rPr>
          <w:rFonts w:hint="eastAsia" w:ascii="新宋体" w:hAnsi="新宋体" w:eastAsia="新宋体" w:cs="新宋体"/>
          <w:color w:val="000000"/>
          <w:sz w:val="24"/>
          <w:szCs w:val="24"/>
        </w:rPr>
        <w:t>　　公用经费32.23万元，主要包括：办公费、水费、电费、邮电费、物业管理费、差旅费、维修（护）费、培训费、公务接待费、工会经费、福利费、其他交通费、其他商品和服务支出等。</w:t>
      </w:r>
    </w:p>
    <w:p>
      <w:pPr>
        <w:keepNext w:val="0"/>
        <w:keepLines w:val="0"/>
        <w:pageBreakBefore w:val="0"/>
        <w:kinsoku/>
        <w:wordWrap/>
        <w:overflowPunct/>
        <w:topLinePunct w:val="0"/>
        <w:bidi w:val="0"/>
        <w:spacing w:line="360" w:lineRule="auto"/>
        <w:ind w:firstLine="640"/>
        <w:textAlignment w:val="auto"/>
        <w:outlineLvl w:val="9"/>
        <w:rPr>
          <w:rFonts w:ascii="黑体" w:eastAsia="黑体"/>
          <w:color w:val="000000"/>
          <w:sz w:val="32"/>
          <w:szCs w:val="32"/>
        </w:rPr>
      </w:pPr>
      <w:r>
        <w:rPr>
          <w:rFonts w:hint="eastAsia" w:ascii="黑体" w:eastAsia="黑体"/>
          <w:color w:val="000000"/>
          <w:sz w:val="32"/>
          <w:szCs w:val="32"/>
        </w:rPr>
        <w:t>七、“三公”经费财政拨款支出决算情况说明</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（一）“三公”经费财政拨款支出决算总体情况说明</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2017年度“三公”经费财政拨款支出决算为1.31万元，完成预算</w:t>
      </w:r>
      <w:r>
        <w:rPr>
          <w:rFonts w:hint="eastAsia" w:ascii="新宋体" w:hAnsi="新宋体" w:eastAsia="新宋体" w:cs="新宋体"/>
          <w:color w:val="000000"/>
          <w:sz w:val="24"/>
          <w:szCs w:val="24"/>
          <w:lang w:val="en-US" w:eastAsia="zh-CN"/>
        </w:rPr>
        <w:t>89</w:t>
      </w:r>
      <w:r>
        <w:rPr>
          <w:rFonts w:hint="eastAsia" w:ascii="新宋体" w:hAnsi="新宋体" w:eastAsia="新宋体" w:cs="新宋体"/>
          <w:color w:val="000000"/>
          <w:sz w:val="24"/>
          <w:szCs w:val="24"/>
        </w:rPr>
        <w:t>%，决算数小于预算数的主要原因是</w:t>
      </w:r>
      <w:r>
        <w:rPr>
          <w:rFonts w:hint="eastAsia" w:ascii="新宋体" w:hAnsi="新宋体" w:eastAsia="新宋体" w:cs="仿宋_GB2312"/>
          <w:sz w:val="24"/>
        </w:rPr>
        <w:t>接待费用下降</w:t>
      </w:r>
      <w:r>
        <w:rPr>
          <w:rFonts w:hint="eastAsia" w:ascii="新宋体" w:hAnsi="新宋体" w:eastAsia="新宋体" w:cs="新宋体"/>
          <w:color w:val="000000"/>
          <w:sz w:val="24"/>
          <w:szCs w:val="24"/>
        </w:rPr>
        <w:t>。</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（二）“三公”经费财政拨款支出决算具体情况说明</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2017年度“三公”经费财政拨款支出决算中，无因公出国（境）费支出；无公务用车购置及运行维护费支出；公务接待费支出决算1.31万元，占100%。具体情况如下：</w:t>
      </w: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r>
        <w:rPr>
          <w:rFonts w:hint="eastAsia" w:ascii="仿宋_GB2312" w:eastAsia="仿宋_GB2312"/>
          <w:color w:val="000000"/>
          <w:sz w:val="32"/>
          <w:szCs w:val="32"/>
        </w:rPr>
        <w:drawing>
          <wp:anchor distT="0" distB="0" distL="114300" distR="114300" simplePos="0" relativeHeight="251669504" behindDoc="0" locked="0" layoutInCell="1" allowOverlap="1">
            <wp:simplePos x="0" y="0"/>
            <wp:positionH relativeFrom="column">
              <wp:posOffset>295275</wp:posOffset>
            </wp:positionH>
            <wp:positionV relativeFrom="paragraph">
              <wp:posOffset>133350</wp:posOffset>
            </wp:positionV>
            <wp:extent cx="5274310" cy="3076575"/>
            <wp:effectExtent l="19050" t="0" r="2159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color w:val="000000"/>
          <w:sz w:val="32"/>
          <w:szCs w:val="32"/>
        </w:rPr>
      </w:pP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b/>
          <w:color w:val="000000"/>
          <w:sz w:val="24"/>
          <w:szCs w:val="24"/>
        </w:rPr>
        <w:t>1.我单位无因公出国（境）经费支出</w:t>
      </w:r>
      <w:r>
        <w:rPr>
          <w:rFonts w:hint="eastAsia" w:ascii="新宋体" w:hAnsi="新宋体" w:eastAsia="新宋体" w:cs="新宋体"/>
          <w:color w:val="000000"/>
          <w:sz w:val="24"/>
          <w:szCs w:val="24"/>
        </w:rPr>
        <w:t>。</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2.我单位</w:t>
      </w:r>
      <w:r>
        <w:rPr>
          <w:rFonts w:hint="eastAsia" w:ascii="新宋体" w:hAnsi="新宋体" w:eastAsia="新宋体" w:cs="新宋体"/>
          <w:b/>
          <w:color w:val="000000"/>
          <w:sz w:val="24"/>
          <w:szCs w:val="24"/>
          <w:lang w:eastAsia="zh-CN"/>
        </w:rPr>
        <w:t>无公务用车，因此</w:t>
      </w:r>
      <w:r>
        <w:rPr>
          <w:rFonts w:hint="eastAsia" w:ascii="新宋体" w:hAnsi="新宋体" w:eastAsia="新宋体" w:cs="新宋体"/>
          <w:b/>
          <w:color w:val="000000"/>
          <w:sz w:val="24"/>
          <w:szCs w:val="24"/>
        </w:rPr>
        <w:t>无公务用车购置及运行维护费支出</w:t>
      </w:r>
      <w:r>
        <w:rPr>
          <w:rFonts w:hint="eastAsia" w:ascii="新宋体" w:hAnsi="新宋体" w:eastAsia="新宋体" w:cs="新宋体"/>
          <w:color w:val="000000"/>
          <w:sz w:val="24"/>
          <w:szCs w:val="24"/>
        </w:rPr>
        <w:t>。</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b/>
          <w:color w:val="000000"/>
          <w:sz w:val="24"/>
          <w:szCs w:val="24"/>
        </w:rPr>
        <w:t>3.公务接待费支出</w:t>
      </w:r>
      <w:r>
        <w:rPr>
          <w:rFonts w:hint="eastAsia" w:ascii="新宋体" w:hAnsi="新宋体" w:eastAsia="新宋体" w:cs="新宋体"/>
          <w:color w:val="000000"/>
          <w:sz w:val="24"/>
          <w:szCs w:val="24"/>
        </w:rPr>
        <w:t>1.31万元。主要用于执行公务、开展业务活动开支用餐费等。国内公务接待16批次，87人次（不包括陪同人员），共计支出1.31万元，具体内容包括：接待外市档案局调研交流等工作共计4批次，31人，支出4500.00元；接待市局及其他州县档案局监督指导及调研交流共计5批次，29人，支出4303.00元；接待本市乡镇档案移交及脱贫攻坚事宜等共计7批次，27人，支出4255.00元。</w:t>
      </w:r>
    </w:p>
    <w:p>
      <w:pPr>
        <w:keepNext w:val="0"/>
        <w:keepLines w:val="0"/>
        <w:pageBreakBefore w:val="0"/>
        <w:kinsoku/>
        <w:wordWrap/>
        <w:overflowPunct/>
        <w:topLinePunct w:val="0"/>
        <w:bidi w:val="0"/>
        <w:spacing w:line="360" w:lineRule="auto"/>
        <w:ind w:firstLine="640"/>
        <w:textAlignment w:val="auto"/>
        <w:outlineLvl w:val="9"/>
        <w:rPr>
          <w:rFonts w:ascii="仿宋_GB2312" w:eastAsia="仿宋_GB2312"/>
          <w:b/>
          <w:color w:val="000000"/>
          <w:sz w:val="32"/>
          <w:szCs w:val="32"/>
        </w:rPr>
      </w:pPr>
      <w:r>
        <w:rPr>
          <w:rFonts w:hint="eastAsia" w:ascii="新宋体" w:hAnsi="新宋体" w:eastAsia="新宋体" w:cs="新宋体"/>
          <w:color w:val="000000"/>
          <w:sz w:val="24"/>
          <w:szCs w:val="24"/>
        </w:rPr>
        <w:t>公务接待费支出决算比2016年减少0.16万元，下降10.88%。主要原因是机关各股室贯彻落实中央“八项”规定和省委、市政府“十项”规定精神，规范公务接待活动，减少了相关支出。</w:t>
      </w:r>
    </w:p>
    <w:p>
      <w:pPr>
        <w:keepNext w:val="0"/>
        <w:keepLines w:val="0"/>
        <w:pageBreakBefore w:val="0"/>
        <w:kinsoku/>
        <w:wordWrap/>
        <w:overflowPunct/>
        <w:topLinePunct w:val="0"/>
        <w:bidi w:val="0"/>
        <w:spacing w:line="360" w:lineRule="auto"/>
        <w:ind w:firstLine="640"/>
        <w:textAlignment w:val="auto"/>
        <w:outlineLvl w:val="9"/>
        <w:rPr>
          <w:rFonts w:ascii="黑体" w:eastAsia="黑体"/>
          <w:color w:val="000000"/>
          <w:sz w:val="32"/>
          <w:szCs w:val="32"/>
        </w:rPr>
      </w:pPr>
      <w:r>
        <w:rPr>
          <w:rFonts w:hint="eastAsia" w:ascii="黑体" w:eastAsia="黑体"/>
          <w:color w:val="000000"/>
          <w:sz w:val="32"/>
          <w:szCs w:val="32"/>
        </w:rPr>
        <w:t>八、政府性基金预算支出决算情况说明</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2017年度无政府性基金预算拨款支出。</w:t>
      </w:r>
    </w:p>
    <w:p>
      <w:pPr>
        <w:keepNext w:val="0"/>
        <w:keepLines w:val="0"/>
        <w:pageBreakBefore w:val="0"/>
        <w:kinsoku/>
        <w:wordWrap/>
        <w:overflowPunct/>
        <w:topLinePunct w:val="0"/>
        <w:bidi w:val="0"/>
        <w:spacing w:line="360" w:lineRule="auto"/>
        <w:ind w:firstLine="640"/>
        <w:textAlignment w:val="auto"/>
        <w:outlineLvl w:val="9"/>
        <w:rPr>
          <w:rFonts w:ascii="黑体" w:eastAsia="黑体"/>
          <w:color w:val="000000"/>
          <w:sz w:val="32"/>
          <w:szCs w:val="32"/>
        </w:rPr>
      </w:pPr>
      <w:r>
        <w:rPr>
          <w:rFonts w:hint="eastAsia" w:ascii="黑体" w:eastAsia="黑体"/>
          <w:color w:val="000000"/>
          <w:sz w:val="32"/>
          <w:szCs w:val="32"/>
        </w:rPr>
        <w:t>九、国有资本经营预算支出决算情况说明</w:t>
      </w:r>
    </w:p>
    <w:p>
      <w:pPr>
        <w:keepNext w:val="0"/>
        <w:keepLines w:val="0"/>
        <w:pageBreakBefore w:val="0"/>
        <w:kinsoku/>
        <w:wordWrap/>
        <w:overflowPunct/>
        <w:topLinePunct w:val="0"/>
        <w:bidi w:val="0"/>
        <w:spacing w:line="360" w:lineRule="auto"/>
        <w:ind w:firstLine="64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2017年度无国有资本经营预算拨款支出。</w:t>
      </w:r>
    </w:p>
    <w:p>
      <w:pPr>
        <w:keepNext w:val="0"/>
        <w:keepLines w:val="0"/>
        <w:pageBreakBefore w:val="0"/>
        <w:kinsoku/>
        <w:wordWrap/>
        <w:overflowPunct/>
        <w:topLinePunct w:val="0"/>
        <w:bidi w:val="0"/>
        <w:spacing w:line="360" w:lineRule="auto"/>
        <w:ind w:firstLine="640" w:firstLineChars="200"/>
        <w:textAlignment w:val="auto"/>
        <w:outlineLvl w:val="9"/>
        <w:rPr>
          <w:rFonts w:ascii="黑体" w:eastAsia="黑体"/>
          <w:color w:val="000000"/>
          <w:sz w:val="32"/>
          <w:szCs w:val="32"/>
        </w:rPr>
      </w:pPr>
      <w:r>
        <w:rPr>
          <w:rFonts w:hint="eastAsia" w:ascii="黑体" w:eastAsia="黑体"/>
          <w:color w:val="000000"/>
          <w:sz w:val="32"/>
          <w:szCs w:val="32"/>
        </w:rPr>
        <w:t>十、其他重要事项的情况说明</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b/>
          <w:color w:val="000000"/>
          <w:sz w:val="24"/>
          <w:szCs w:val="24"/>
        </w:rPr>
        <w:t>（一）机关运行经费支出情况</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2017年度，江油市档案局机关运行经费支出32.2</w:t>
      </w: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万元，比2016年增加12.95万元，增长67.20%。</w:t>
      </w:r>
    </w:p>
    <w:p>
      <w:pPr>
        <w:keepNext w:val="0"/>
        <w:keepLines w:val="0"/>
        <w:pageBreakBefore w:val="0"/>
        <w:kinsoku/>
        <w:wordWrap/>
        <w:overflowPunct/>
        <w:topLinePunct w:val="0"/>
        <w:autoSpaceDE w:val="0"/>
        <w:autoSpaceDN w:val="0"/>
        <w:bidi w:val="0"/>
        <w:adjustRightInd w:val="0"/>
        <w:spacing w:line="360" w:lineRule="auto"/>
        <w:ind w:firstLine="482" w:firstLineChars="200"/>
        <w:jc w:val="left"/>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（二）政府采购支出情况</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2017年度，江油市档案局政府采购支出总额110.00万元，其中：政府采购服务支出110.00万元。主要用于支付档案数字化加工服务费和智慧平台建设费用。</w:t>
      </w:r>
    </w:p>
    <w:p>
      <w:pPr>
        <w:keepNext w:val="0"/>
        <w:keepLines w:val="0"/>
        <w:pageBreakBefore w:val="0"/>
        <w:kinsoku/>
        <w:wordWrap/>
        <w:overflowPunct/>
        <w:topLinePunct w:val="0"/>
        <w:autoSpaceDE w:val="0"/>
        <w:autoSpaceDN w:val="0"/>
        <w:bidi w:val="0"/>
        <w:adjustRightInd w:val="0"/>
        <w:spacing w:line="360" w:lineRule="auto"/>
        <w:ind w:firstLine="482" w:firstLineChars="200"/>
        <w:jc w:val="left"/>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（三）国有资产占有使用情况</w:t>
      </w:r>
    </w:p>
    <w:p>
      <w:pPr>
        <w:keepNext w:val="0"/>
        <w:keepLines w:val="0"/>
        <w:pageBreakBefore w:val="0"/>
        <w:kinsoku/>
        <w:wordWrap/>
        <w:overflowPunct/>
        <w:topLinePunct w:val="0"/>
        <w:autoSpaceDE w:val="0"/>
        <w:autoSpaceDN w:val="0"/>
        <w:bidi w:val="0"/>
        <w:adjustRightInd w:val="0"/>
        <w:spacing w:line="360" w:lineRule="auto"/>
        <w:ind w:firstLine="480" w:firstLineChars="200"/>
        <w:jc w:val="left"/>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rPr>
        <w:t>截至2017年12月31日，江油市档案局无车辆；江油市档案局单价50万元以上通用设备1套，单价100万元以上专用设备2套。</w:t>
      </w:r>
    </w:p>
    <w:p>
      <w:pPr>
        <w:keepNext w:val="0"/>
        <w:keepLines w:val="0"/>
        <w:pageBreakBefore w:val="0"/>
        <w:kinsoku/>
        <w:wordWrap/>
        <w:overflowPunct/>
        <w:topLinePunct w:val="0"/>
        <w:autoSpaceDE w:val="0"/>
        <w:autoSpaceDN w:val="0"/>
        <w:bidi w:val="0"/>
        <w:adjustRightInd w:val="0"/>
        <w:spacing w:line="360" w:lineRule="auto"/>
        <w:ind w:firstLine="482" w:firstLineChars="200"/>
        <w:jc w:val="left"/>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（四）预算绩效情况</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1.绩效目标管理情况。</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按照预算绩效管理要求，本部门对2017年一般公共预算项目支出开展了绩效目标管理，共编制绩效目标9个，涉及财政资金161.54万元，覆盖率达到100%。</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2.部门整体支出绩效自评开展情况。</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rPr>
        <w:t>按照预算绩效管理要求，本部门对2017年整体支出开展绩效自评，自评得分</w:t>
      </w:r>
      <w:r>
        <w:rPr>
          <w:rFonts w:hint="eastAsia" w:ascii="新宋体" w:hAnsi="新宋体" w:eastAsia="新宋体" w:cs="新宋体"/>
          <w:color w:val="000000"/>
          <w:sz w:val="24"/>
          <w:szCs w:val="24"/>
          <w:lang w:val="en-US" w:eastAsia="zh-CN"/>
        </w:rPr>
        <w:t>100</w:t>
      </w:r>
      <w:r>
        <w:rPr>
          <w:rFonts w:hint="eastAsia" w:ascii="新宋体" w:hAnsi="新宋体" w:eastAsia="新宋体" w:cs="新宋体"/>
          <w:color w:val="000000"/>
          <w:sz w:val="24"/>
          <w:szCs w:val="24"/>
        </w:rPr>
        <w:t>分。</w:t>
      </w:r>
    </w:p>
    <w:p>
      <w:pPr>
        <w:keepNext w:val="0"/>
        <w:keepLines w:val="0"/>
        <w:pageBreakBefore w:val="0"/>
        <w:kinsoku/>
        <w:wordWrap/>
        <w:overflowPunct/>
        <w:topLinePunct w:val="0"/>
        <w:bidi w:val="0"/>
        <w:spacing w:line="360" w:lineRule="auto"/>
        <w:ind w:firstLine="643" w:firstLineChars="200"/>
        <w:textAlignment w:val="auto"/>
        <w:outlineLvl w:val="9"/>
        <w:rPr>
          <w:rFonts w:ascii="仿宋_GB2312" w:eastAsia="仿宋_GB2312"/>
          <w:b/>
          <w:color w:val="000000"/>
          <w:sz w:val="32"/>
          <w:szCs w:val="32"/>
        </w:rPr>
      </w:pPr>
    </w:p>
    <w:p>
      <w:pPr>
        <w:keepNext w:val="0"/>
        <w:keepLines w:val="0"/>
        <w:pageBreakBefore w:val="0"/>
        <w:kinsoku/>
        <w:wordWrap/>
        <w:overflowPunct/>
        <w:topLinePunct w:val="0"/>
        <w:bidi w:val="0"/>
        <w:spacing w:line="360" w:lineRule="auto"/>
        <w:ind w:firstLine="643" w:firstLineChars="200"/>
        <w:textAlignment w:val="auto"/>
        <w:outlineLvl w:val="9"/>
        <w:rPr>
          <w:rFonts w:ascii="仿宋_GB2312" w:eastAsia="仿宋_GB2312"/>
          <w:b/>
          <w:color w:val="000000"/>
          <w:sz w:val="32"/>
          <w:szCs w:val="32"/>
        </w:rPr>
      </w:pPr>
    </w:p>
    <w:p>
      <w:pPr>
        <w:keepNext w:val="0"/>
        <w:keepLines w:val="0"/>
        <w:pageBreakBefore w:val="0"/>
        <w:kinsoku/>
        <w:wordWrap/>
        <w:overflowPunct/>
        <w:topLinePunct w:val="0"/>
        <w:bidi w:val="0"/>
        <w:spacing w:line="360" w:lineRule="auto"/>
        <w:ind w:firstLine="643" w:firstLineChars="200"/>
        <w:textAlignment w:val="auto"/>
        <w:outlineLvl w:val="9"/>
        <w:rPr>
          <w:rFonts w:ascii="仿宋_GB2312" w:eastAsia="仿宋_GB2312"/>
          <w:b/>
          <w:color w:val="000000"/>
          <w:sz w:val="32"/>
          <w:szCs w:val="32"/>
        </w:rPr>
      </w:pPr>
    </w:p>
    <w:p>
      <w:pPr>
        <w:keepNext w:val="0"/>
        <w:keepLines w:val="0"/>
        <w:pageBreakBefore w:val="0"/>
        <w:kinsoku/>
        <w:wordWrap/>
        <w:overflowPunct/>
        <w:topLinePunct w:val="0"/>
        <w:bidi w:val="0"/>
        <w:spacing w:line="360" w:lineRule="auto"/>
        <w:jc w:val="center"/>
        <w:textAlignment w:val="auto"/>
        <w:outlineLvl w:val="9"/>
        <w:rPr>
          <w:rFonts w:ascii="黑体" w:hAnsi="黑体" w:eastAsia="黑体"/>
          <w:color w:val="000000"/>
          <w:sz w:val="32"/>
          <w:szCs w:val="32"/>
        </w:rPr>
      </w:pPr>
      <w:r>
        <w:rPr>
          <w:rFonts w:hint="eastAsia" w:ascii="黑体" w:hAnsi="黑体" w:eastAsia="黑体"/>
          <w:color w:val="000000"/>
          <w:sz w:val="32"/>
          <w:szCs w:val="32"/>
        </w:rPr>
        <w:t>2017年部门整体支出绩效评价得分表</w:t>
      </w:r>
    </w:p>
    <w:tbl>
      <w:tblPr>
        <w:tblStyle w:val="7"/>
        <w:tblW w:w="9498" w:type="dxa"/>
        <w:tblInd w:w="-176" w:type="dxa"/>
        <w:tblLayout w:type="fixed"/>
        <w:tblCellMar>
          <w:top w:w="0" w:type="dxa"/>
          <w:left w:w="108" w:type="dxa"/>
          <w:bottom w:w="0" w:type="dxa"/>
          <w:right w:w="108" w:type="dxa"/>
        </w:tblCellMar>
      </w:tblPr>
      <w:tblGrid>
        <w:gridCol w:w="1702"/>
        <w:gridCol w:w="2268"/>
        <w:gridCol w:w="3402"/>
        <w:gridCol w:w="2126"/>
      </w:tblGrid>
      <w:tr>
        <w:tblPrEx>
          <w:tblLayout w:type="fixed"/>
          <w:tblCellMar>
            <w:top w:w="0" w:type="dxa"/>
            <w:left w:w="108" w:type="dxa"/>
            <w:bottom w:w="0" w:type="dxa"/>
            <w:right w:w="108" w:type="dxa"/>
          </w:tblCellMar>
        </w:tblPrEx>
        <w:trPr>
          <w:trHeight w:val="240" w:hRule="atLeast"/>
        </w:trPr>
        <w:tc>
          <w:tcPr>
            <w:tcW w:w="17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一级指标</w:t>
            </w:r>
          </w:p>
        </w:tc>
        <w:tc>
          <w:tcPr>
            <w:tcW w:w="22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二级指标</w:t>
            </w:r>
          </w:p>
        </w:tc>
        <w:tc>
          <w:tcPr>
            <w:tcW w:w="34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三级指标</w:t>
            </w:r>
          </w:p>
        </w:tc>
        <w:tc>
          <w:tcPr>
            <w:tcW w:w="2126"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b/>
                <w:bCs/>
                <w:color w:val="000000"/>
                <w:kern w:val="0"/>
                <w:sz w:val="20"/>
                <w:szCs w:val="20"/>
              </w:rPr>
            </w:pPr>
            <w:r>
              <w:rPr>
                <w:rFonts w:hint="eastAsia" w:ascii="宋体" w:hAnsi="宋体" w:cs="宋体"/>
                <w:b/>
                <w:bCs/>
                <w:color w:val="000000"/>
                <w:kern w:val="0"/>
                <w:sz w:val="20"/>
                <w:szCs w:val="20"/>
              </w:rPr>
              <w:t>得分</w:t>
            </w:r>
          </w:p>
        </w:tc>
      </w:tr>
      <w:tr>
        <w:tblPrEx>
          <w:tblLayout w:type="fixed"/>
          <w:tblCellMar>
            <w:top w:w="0" w:type="dxa"/>
            <w:left w:w="108" w:type="dxa"/>
            <w:bottom w:w="0" w:type="dxa"/>
            <w:right w:w="108" w:type="dxa"/>
          </w:tblCellMar>
        </w:tblPrEx>
        <w:trPr>
          <w:trHeight w:val="520" w:hRule="atLeast"/>
        </w:trPr>
        <w:tc>
          <w:tcPr>
            <w:tcW w:w="170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部门决策（25分）</w:t>
            </w: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目标任务（15分）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相关性（5分）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明确性（5分）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20"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合理性（5分）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269"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预算编制（10分）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测算依据（5分）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231" w:hRule="atLeast"/>
        </w:trPr>
        <w:tc>
          <w:tcPr>
            <w:tcW w:w="17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目标管理（5分）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77" w:hRule="atLeast"/>
        </w:trPr>
        <w:tc>
          <w:tcPr>
            <w:tcW w:w="170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综合管理（30分）</w:t>
            </w: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专项资金分配时限（2分）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省级财力专项预算分配时限（1分）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413"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中央专款分配合规率（1分）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277"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中期评估（2分）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执行中期评估（2分）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381"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绩效监控（5分）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预算执行进度监控（2分）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73"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绩效目标动态监控（3分）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非税收入执收情况（2分）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非税收入征收情况（1分）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325"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非税收入上缴情况（1分）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资产管理（6分）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资产管理信息化情况（2分）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35"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行政事业单位资产报告情况（2分）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353"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资产管理与预算管理相结合（2分）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72"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内控制度管理（2分）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内部控制度健全完整（2分）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21"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信息公开（6分）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预算公开（2分）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197"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决算公开（2分）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287"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绩效信息公开（2分）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405" w:hRule="atLeast"/>
        </w:trPr>
        <w:tc>
          <w:tcPr>
            <w:tcW w:w="1702"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绩效评价（5分）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绩效评价开展（2分）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r>
        <w:tblPrEx>
          <w:tblLayout w:type="fixed"/>
          <w:tblCellMar>
            <w:top w:w="0" w:type="dxa"/>
            <w:left w:w="108" w:type="dxa"/>
            <w:bottom w:w="0" w:type="dxa"/>
            <w:right w:w="108" w:type="dxa"/>
          </w:tblCellMar>
        </w:tblPrEx>
        <w:trPr>
          <w:trHeight w:val="127" w:hRule="atLeast"/>
        </w:trPr>
        <w:tc>
          <w:tcPr>
            <w:tcW w:w="17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评价结果应用（3分）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3</w:t>
            </w:r>
          </w:p>
        </w:tc>
      </w:tr>
      <w:tr>
        <w:tblPrEx>
          <w:tblLayout w:type="fixed"/>
          <w:tblCellMar>
            <w:top w:w="0" w:type="dxa"/>
            <w:left w:w="108" w:type="dxa"/>
            <w:bottom w:w="0" w:type="dxa"/>
            <w:right w:w="108" w:type="dxa"/>
          </w:tblCellMar>
        </w:tblPrEx>
        <w:trPr>
          <w:trHeight w:val="1288" w:hRule="atLeast"/>
        </w:trPr>
        <w:tc>
          <w:tcPr>
            <w:tcW w:w="170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部门绩效情况（45分）</w:t>
            </w:r>
          </w:p>
        </w:tc>
        <w:tc>
          <w:tcPr>
            <w:tcW w:w="22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履职成效（20分）</w:t>
            </w:r>
          </w:p>
        </w:tc>
        <w:tc>
          <w:tcPr>
            <w:tcW w:w="3402" w:type="dxa"/>
            <w:tcBorders>
              <w:top w:val="nil"/>
              <w:left w:val="nil"/>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部门特性指标</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w:t>
            </w:r>
          </w:p>
        </w:tc>
      </w:tr>
      <w:tr>
        <w:tblPrEx>
          <w:tblLayout w:type="fixed"/>
          <w:tblCellMar>
            <w:top w:w="0" w:type="dxa"/>
            <w:left w:w="108" w:type="dxa"/>
            <w:bottom w:w="0" w:type="dxa"/>
            <w:right w:w="108" w:type="dxa"/>
          </w:tblCellMar>
        </w:tblPrEx>
        <w:trPr>
          <w:trHeight w:val="157"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可持续发展能力（15分）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重点改革（重点工作）完成情况（5分）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320"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科技（制度、方法、机制等）创新（5分）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5</w:t>
            </w:r>
          </w:p>
        </w:tc>
      </w:tr>
      <w:tr>
        <w:tblPrEx>
          <w:tblLayout w:type="fixed"/>
          <w:tblCellMar>
            <w:top w:w="0" w:type="dxa"/>
            <w:left w:w="108" w:type="dxa"/>
            <w:bottom w:w="0" w:type="dxa"/>
            <w:right w:w="108" w:type="dxa"/>
          </w:tblCellMar>
        </w:tblPrEx>
        <w:trPr>
          <w:trHeight w:val="385"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人才培养（5分）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r>
      <w:tr>
        <w:tblPrEx>
          <w:tblLayout w:type="fixed"/>
          <w:tblCellMar>
            <w:top w:w="0" w:type="dxa"/>
            <w:left w:w="108" w:type="dxa"/>
            <w:bottom w:w="0" w:type="dxa"/>
            <w:right w:w="108" w:type="dxa"/>
          </w:tblCellMar>
        </w:tblPrEx>
        <w:trPr>
          <w:trHeight w:val="432"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满意度（10分）</w:t>
            </w: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协作部门满意度（3分）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396" w:hRule="atLeast"/>
        </w:trPr>
        <w:tc>
          <w:tcPr>
            <w:tcW w:w="170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管理对象满意度（3分）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r>
      <w:tr>
        <w:tblPrEx>
          <w:tblLayout w:type="fixed"/>
          <w:tblCellMar>
            <w:top w:w="0" w:type="dxa"/>
            <w:left w:w="108" w:type="dxa"/>
            <w:bottom w:w="0" w:type="dxa"/>
            <w:right w:w="108" w:type="dxa"/>
          </w:tblCellMar>
        </w:tblPrEx>
        <w:trPr>
          <w:trHeight w:val="411" w:hRule="atLeast"/>
        </w:trPr>
        <w:tc>
          <w:tcPr>
            <w:tcW w:w="170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226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textAlignment w:val="auto"/>
              <w:outlineLvl w:val="9"/>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ascii="宋体" w:hAnsi="宋体" w:cs="宋体"/>
                <w:color w:val="000000"/>
                <w:kern w:val="0"/>
                <w:sz w:val="20"/>
                <w:szCs w:val="20"/>
              </w:rPr>
            </w:pPr>
            <w:r>
              <w:rPr>
                <w:rFonts w:hint="eastAsia" w:ascii="宋体" w:hAnsi="宋体" w:cs="宋体"/>
                <w:color w:val="000000"/>
                <w:kern w:val="0"/>
                <w:sz w:val="20"/>
                <w:szCs w:val="20"/>
              </w:rPr>
              <w:t>社会公众满意度（4分）</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r>
    </w:tbl>
    <w:p>
      <w:pPr>
        <w:keepNext w:val="0"/>
        <w:keepLines w:val="0"/>
        <w:pageBreakBefore w:val="0"/>
        <w:kinsoku/>
        <w:wordWrap/>
        <w:overflowPunct/>
        <w:topLinePunct w:val="0"/>
        <w:bidi w:val="0"/>
        <w:spacing w:line="360" w:lineRule="auto"/>
        <w:textAlignment w:val="auto"/>
        <w:outlineLvl w:val="9"/>
        <w:rPr>
          <w:rFonts w:ascii="仿宋_GB2312" w:eastAsia="仿宋_GB2312"/>
          <w:b/>
          <w:color w:val="000000"/>
          <w:sz w:val="32"/>
          <w:szCs w:val="32"/>
        </w:rPr>
      </w:pPr>
    </w:p>
    <w:p>
      <w:pPr>
        <w:keepNext w:val="0"/>
        <w:keepLines w:val="0"/>
        <w:pageBreakBefore w:val="0"/>
        <w:kinsoku/>
        <w:wordWrap/>
        <w:overflowPunct/>
        <w:topLinePunct w:val="0"/>
        <w:bidi w:val="0"/>
        <w:spacing w:line="360" w:lineRule="auto"/>
        <w:textAlignment w:val="auto"/>
        <w:outlineLvl w:val="9"/>
        <w:rPr>
          <w:rFonts w:hint="eastAsia" w:eastAsia="新宋体"/>
          <w:color w:val="000000"/>
          <w:lang w:val="en-US" w:eastAsia="zh-CN"/>
        </w:rPr>
      </w:pPr>
      <w:r>
        <w:rPr>
          <w:rFonts w:hint="eastAsia" w:ascii="新宋体" w:hAnsi="新宋体" w:eastAsia="新宋体" w:cs="新宋体"/>
          <w:color w:val="000000"/>
          <w:sz w:val="24"/>
          <w:szCs w:val="24"/>
        </w:rPr>
        <w:t>3.</w:t>
      </w:r>
      <w:r>
        <w:rPr>
          <w:rFonts w:hint="eastAsia" w:ascii="新宋体" w:hAnsi="新宋体" w:eastAsia="新宋体" w:cs="新宋体"/>
          <w:color w:val="000000"/>
          <w:sz w:val="24"/>
          <w:szCs w:val="24"/>
          <w:lang w:eastAsia="zh-CN"/>
        </w:rPr>
        <w:t>本单位</w:t>
      </w:r>
      <w:r>
        <w:rPr>
          <w:rFonts w:hint="eastAsia" w:ascii="新宋体" w:hAnsi="新宋体" w:eastAsia="新宋体" w:cs="新宋体"/>
          <w:color w:val="000000"/>
          <w:sz w:val="24"/>
          <w:szCs w:val="24"/>
          <w:lang w:val="en-US" w:eastAsia="zh-CN"/>
        </w:rPr>
        <w:t>2017年度无绩效评价项目。</w:t>
      </w:r>
    </w:p>
    <w:p>
      <w:pPr>
        <w:keepNext w:val="0"/>
        <w:keepLines w:val="0"/>
        <w:pageBreakBefore w:val="0"/>
        <w:kinsoku/>
        <w:wordWrap/>
        <w:overflowPunct/>
        <w:topLinePunct w:val="0"/>
        <w:autoSpaceDE w:val="0"/>
        <w:autoSpaceDN w:val="0"/>
        <w:bidi w:val="0"/>
        <w:adjustRightInd w:val="0"/>
        <w:spacing w:line="360" w:lineRule="auto"/>
        <w:ind w:firstLine="640" w:firstLineChars="200"/>
        <w:jc w:val="left"/>
        <w:textAlignment w:val="auto"/>
        <w:outlineLvl w:val="9"/>
        <w:rPr>
          <w:rFonts w:ascii="黑体" w:eastAsia="黑体"/>
          <w:color w:val="000000"/>
          <w:sz w:val="32"/>
          <w:szCs w:val="32"/>
        </w:rPr>
      </w:pPr>
      <w:r>
        <w:rPr>
          <w:rFonts w:hint="eastAsia" w:ascii="黑体" w:eastAsia="黑体"/>
          <w:color w:val="000000"/>
          <w:sz w:val="32"/>
          <w:szCs w:val="32"/>
        </w:rPr>
        <w:t>十一、名词解释</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1.财政拨款收入：指单位从同级财政部门取得的财政预算资金。</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2.其他收入：指单位取得的除财政拨款收入、事业收入、经营收入以外的各项收入。我单位主要是银行利息等。 </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3.年初结转和结余：指以前年度尚未完成、结转到本年按有关规定继续使用的资金。 </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4.年末结转和结余：指单位按有关规定结转到下年或以后年度继续使用的资金。</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5.一般公共服务（类）档案事务（款）行政运行（项）:指行政单位（包括实行公务员管理的事业单位）的基本支出。</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6. 一般公共服务（类）档案事务（款）一般行政管理事务（项）:指行政单位（包括实行公务员管理的事业单位）未单独设置项级科目的其他项目支出。</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7. 一般公共服务（类）档案事务（款）档案馆（项）:指中央和地方各级档案馆的支出，包括档案资料征集，档案抢救、保护、编纂、修复、现代化管理，档案信息资源开发、提供、利用，档案馆设备购置、维护，档案陈列展览等方面的支出。</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8.一般公共服务（类）档案事务（款）其他档案事务支出（项）:指除4、5、6条项目以外其他用于档案事务方面的支出。</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9.教育（类）进修及培训（款）培训支出（项）:指部门安排的用于培训的支出。教育部门的师资培训，党校、行政学院等专业干部教育机构的支出。</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10.社会保障和就业（类）行政事业单位离退休（款）归口管理的行政单位离退休（项）:指实行归口管理的行政单位（包括实行公务员管理的事业单位）开支的离退休经费。</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11.社会保障和就业（类）行政事业单位离退休（款）事业单位离退休（项）:指实行归口管理的事业单位开支的离退休经费。</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12.社会保障和就业（类）行政事业单位离退休（款）机关事业单位基本养老保险缴费（项）:指机关事业单位实施养老保险制度由单位缴纳的基本养老保险费支出。</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13.社会保障和就业（类）行政事业单位离退休（款）死亡抚恤（项）:指按规定用于烈士和牺牲、病故人员家属的一次性和定期抚恤金以及丧葬补助费。</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14.医疗卫生与计划生育（类）医疗保障（款）行政单位医疗（项）:指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15.基本支出：指为保障机构正常运转、完成日常工作任务而发生的人员支出和公用支出。</w:t>
      </w:r>
    </w:p>
    <w:p>
      <w:pPr>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 xml:space="preserve">16.项目支出：指在基本支出之外为完成特定行政任务和事业发展目标所发生的支出。 </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17.“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1"/>
        <w:keepNext w:val="0"/>
        <w:keepLines w:val="0"/>
        <w:pageBreakBefore w:val="0"/>
        <w:kinsoku/>
        <w:wordWrap/>
        <w:overflowPunct/>
        <w:topLinePunct w:val="0"/>
        <w:bidi w:val="0"/>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line="360" w:lineRule="auto"/>
        <w:ind w:firstLine="482" w:firstLineChars="200"/>
        <w:textAlignment w:val="auto"/>
        <w:outlineLvl w:val="9"/>
        <w:rPr>
          <w:rFonts w:hint="eastAsia" w:ascii="新宋体" w:hAnsi="新宋体" w:eastAsia="新宋体" w:cs="新宋体"/>
          <w:b/>
          <w:color w:val="000000"/>
          <w:sz w:val="24"/>
          <w:szCs w:val="24"/>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492F"/>
    <w:rsid w:val="0006487A"/>
    <w:rsid w:val="000B047F"/>
    <w:rsid w:val="000B5A48"/>
    <w:rsid w:val="000C3CA6"/>
    <w:rsid w:val="000C4B93"/>
    <w:rsid w:val="000D5782"/>
    <w:rsid w:val="000E5B30"/>
    <w:rsid w:val="0014729F"/>
    <w:rsid w:val="00160E4C"/>
    <w:rsid w:val="001877A7"/>
    <w:rsid w:val="00191536"/>
    <w:rsid w:val="00196687"/>
    <w:rsid w:val="001D6626"/>
    <w:rsid w:val="001E737D"/>
    <w:rsid w:val="001F7506"/>
    <w:rsid w:val="00202B36"/>
    <w:rsid w:val="00235629"/>
    <w:rsid w:val="00260C38"/>
    <w:rsid w:val="002616C0"/>
    <w:rsid w:val="002662AA"/>
    <w:rsid w:val="00276305"/>
    <w:rsid w:val="00312EC2"/>
    <w:rsid w:val="0037013F"/>
    <w:rsid w:val="003A484F"/>
    <w:rsid w:val="003A6F6E"/>
    <w:rsid w:val="003B0C1B"/>
    <w:rsid w:val="003B2A61"/>
    <w:rsid w:val="003C0291"/>
    <w:rsid w:val="00426C88"/>
    <w:rsid w:val="00426D54"/>
    <w:rsid w:val="00443880"/>
    <w:rsid w:val="00447782"/>
    <w:rsid w:val="004811C3"/>
    <w:rsid w:val="00487E5D"/>
    <w:rsid w:val="004B4690"/>
    <w:rsid w:val="004E1C00"/>
    <w:rsid w:val="004E206B"/>
    <w:rsid w:val="004F7AA8"/>
    <w:rsid w:val="00505A47"/>
    <w:rsid w:val="00512FDA"/>
    <w:rsid w:val="005664BB"/>
    <w:rsid w:val="00574638"/>
    <w:rsid w:val="0058486E"/>
    <w:rsid w:val="005A4E1D"/>
    <w:rsid w:val="005D5CED"/>
    <w:rsid w:val="005F347B"/>
    <w:rsid w:val="00601460"/>
    <w:rsid w:val="00607E6C"/>
    <w:rsid w:val="006325F8"/>
    <w:rsid w:val="00640E8C"/>
    <w:rsid w:val="00654421"/>
    <w:rsid w:val="0066343B"/>
    <w:rsid w:val="00683E73"/>
    <w:rsid w:val="006A3909"/>
    <w:rsid w:val="006A5AE8"/>
    <w:rsid w:val="00750144"/>
    <w:rsid w:val="0075404D"/>
    <w:rsid w:val="00756CCD"/>
    <w:rsid w:val="0076182A"/>
    <w:rsid w:val="00767B7E"/>
    <w:rsid w:val="007770C3"/>
    <w:rsid w:val="00786E4A"/>
    <w:rsid w:val="007E6909"/>
    <w:rsid w:val="007F2C2F"/>
    <w:rsid w:val="00800112"/>
    <w:rsid w:val="00860645"/>
    <w:rsid w:val="00871F71"/>
    <w:rsid w:val="0092392E"/>
    <w:rsid w:val="00931822"/>
    <w:rsid w:val="00946945"/>
    <w:rsid w:val="00951248"/>
    <w:rsid w:val="0095152F"/>
    <w:rsid w:val="00971FFC"/>
    <w:rsid w:val="00973CD4"/>
    <w:rsid w:val="00982C83"/>
    <w:rsid w:val="009846F0"/>
    <w:rsid w:val="00990A25"/>
    <w:rsid w:val="00992893"/>
    <w:rsid w:val="009B2C43"/>
    <w:rsid w:val="009B4EAE"/>
    <w:rsid w:val="009B7573"/>
    <w:rsid w:val="009D0E63"/>
    <w:rsid w:val="009D3447"/>
    <w:rsid w:val="009F52B2"/>
    <w:rsid w:val="00A13CC1"/>
    <w:rsid w:val="00A307CD"/>
    <w:rsid w:val="00A40A00"/>
    <w:rsid w:val="00A40B7C"/>
    <w:rsid w:val="00A62A36"/>
    <w:rsid w:val="00AD5620"/>
    <w:rsid w:val="00AD7C1B"/>
    <w:rsid w:val="00B03C9D"/>
    <w:rsid w:val="00B10517"/>
    <w:rsid w:val="00B14E76"/>
    <w:rsid w:val="00B2048C"/>
    <w:rsid w:val="00B24CDC"/>
    <w:rsid w:val="00B310B9"/>
    <w:rsid w:val="00B44B70"/>
    <w:rsid w:val="00B77EA6"/>
    <w:rsid w:val="00B81760"/>
    <w:rsid w:val="00B841F1"/>
    <w:rsid w:val="00BC3602"/>
    <w:rsid w:val="00BC5460"/>
    <w:rsid w:val="00C03E31"/>
    <w:rsid w:val="00C354B2"/>
    <w:rsid w:val="00C35554"/>
    <w:rsid w:val="00C533CC"/>
    <w:rsid w:val="00C62B85"/>
    <w:rsid w:val="00C63059"/>
    <w:rsid w:val="00C80F62"/>
    <w:rsid w:val="00C824AF"/>
    <w:rsid w:val="00CA78E7"/>
    <w:rsid w:val="00CC09B6"/>
    <w:rsid w:val="00CE680D"/>
    <w:rsid w:val="00CE7B61"/>
    <w:rsid w:val="00D00095"/>
    <w:rsid w:val="00D14583"/>
    <w:rsid w:val="00D33BB3"/>
    <w:rsid w:val="00D51276"/>
    <w:rsid w:val="00D85DC2"/>
    <w:rsid w:val="00DB1913"/>
    <w:rsid w:val="00DC410D"/>
    <w:rsid w:val="00DC68CA"/>
    <w:rsid w:val="00DF4447"/>
    <w:rsid w:val="00E55562"/>
    <w:rsid w:val="00E82267"/>
    <w:rsid w:val="00ED1B63"/>
    <w:rsid w:val="00EE0EE1"/>
    <w:rsid w:val="00EE2F57"/>
    <w:rsid w:val="00EF4C34"/>
    <w:rsid w:val="00F1361C"/>
    <w:rsid w:val="00F160C7"/>
    <w:rsid w:val="00F27C9D"/>
    <w:rsid w:val="00F417B1"/>
    <w:rsid w:val="00F602DF"/>
    <w:rsid w:val="00FB5955"/>
    <w:rsid w:val="00FE26A5"/>
    <w:rsid w:val="00FE76B9"/>
    <w:rsid w:val="00FF1167"/>
    <w:rsid w:val="00FF1E02"/>
    <w:rsid w:val="00FF55B6"/>
    <w:rsid w:val="011D4657"/>
    <w:rsid w:val="01EB63EF"/>
    <w:rsid w:val="03AC6BF8"/>
    <w:rsid w:val="03C36BEB"/>
    <w:rsid w:val="0ACD6735"/>
    <w:rsid w:val="0BFE0E9A"/>
    <w:rsid w:val="0CF64FD9"/>
    <w:rsid w:val="11AA0254"/>
    <w:rsid w:val="13F06554"/>
    <w:rsid w:val="16B53D2F"/>
    <w:rsid w:val="1BF84756"/>
    <w:rsid w:val="1C1E6396"/>
    <w:rsid w:val="1C9257DB"/>
    <w:rsid w:val="1E5B2ED9"/>
    <w:rsid w:val="1F6645C9"/>
    <w:rsid w:val="1F71294F"/>
    <w:rsid w:val="20306A98"/>
    <w:rsid w:val="215E11FD"/>
    <w:rsid w:val="22323503"/>
    <w:rsid w:val="2330639E"/>
    <w:rsid w:val="237E3136"/>
    <w:rsid w:val="24D94A8B"/>
    <w:rsid w:val="27B67A43"/>
    <w:rsid w:val="2BB23D2B"/>
    <w:rsid w:val="2C093DEA"/>
    <w:rsid w:val="307F78DE"/>
    <w:rsid w:val="325E477A"/>
    <w:rsid w:val="33072A6E"/>
    <w:rsid w:val="33991FA7"/>
    <w:rsid w:val="362B1A0D"/>
    <w:rsid w:val="369A3177"/>
    <w:rsid w:val="38824815"/>
    <w:rsid w:val="3913767A"/>
    <w:rsid w:val="3B466A19"/>
    <w:rsid w:val="3B5247B6"/>
    <w:rsid w:val="3F7D2C68"/>
    <w:rsid w:val="41926285"/>
    <w:rsid w:val="439B6FD3"/>
    <w:rsid w:val="455E299A"/>
    <w:rsid w:val="4AC207F3"/>
    <w:rsid w:val="4B91456D"/>
    <w:rsid w:val="4F9B4FF6"/>
    <w:rsid w:val="510C6CF1"/>
    <w:rsid w:val="525B681C"/>
    <w:rsid w:val="54947FD4"/>
    <w:rsid w:val="5559764E"/>
    <w:rsid w:val="56BF0537"/>
    <w:rsid w:val="59D25769"/>
    <w:rsid w:val="5AA46E38"/>
    <w:rsid w:val="6BE42299"/>
    <w:rsid w:val="74C56D33"/>
    <w:rsid w:val="7C666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spacing w:beforeLines="30"/>
    </w:pPr>
    <w:rPr>
      <w:rFonts w:ascii="仿宋_GB2312" w:eastAsia="仿宋_GB2312"/>
      <w:kern w:val="0"/>
      <w:sz w:val="30"/>
    </w:rPr>
  </w:style>
  <w:style w:type="paragraph" w:styleId="3">
    <w:name w:val="footer"/>
    <w:basedOn w:val="1"/>
    <w:link w:val="10"/>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6">
    <w:name w:val="Strong"/>
    <w:qFormat/>
    <w:uiPriority w:val="22"/>
    <w:rPr>
      <w:b/>
      <w:bCs/>
    </w:rPr>
  </w:style>
  <w:style w:type="character" w:customStyle="1" w:styleId="8">
    <w:name w:val="页眉 Char"/>
    <w:link w:val="4"/>
    <w:semiHidden/>
    <w:qFormat/>
    <w:uiPriority w:val="99"/>
    <w:rPr>
      <w:sz w:val="18"/>
      <w:szCs w:val="18"/>
    </w:rPr>
  </w:style>
  <w:style w:type="character" w:customStyle="1" w:styleId="9">
    <w:name w:val="正文文本 Char"/>
    <w:link w:val="2"/>
    <w:qFormat/>
    <w:uiPriority w:val="0"/>
    <w:rPr>
      <w:rFonts w:ascii="仿宋_GB2312" w:hAnsi="Times New Roman" w:eastAsia="仿宋_GB2312" w:cs="Times New Roman"/>
      <w:sz w:val="30"/>
      <w:szCs w:val="24"/>
    </w:rPr>
  </w:style>
  <w:style w:type="character" w:customStyle="1" w:styleId="10">
    <w:name w:val="页脚 Char"/>
    <w:link w:val="3"/>
    <w:qFormat/>
    <w:uiPriority w:val="99"/>
    <w:rPr>
      <w:sz w:val="18"/>
      <w:szCs w:val="18"/>
    </w:rPr>
  </w:style>
  <w:style w:type="paragraph" w:customStyle="1" w:styleId="11">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2017年收入</c:v>
                </c:pt>
              </c:strCache>
            </c:strRef>
          </c:tx>
          <c:explosion val="25"/>
          <c:dPt>
            <c:idx val="0"/>
            <c:bubble3D val="0"/>
          </c:dPt>
          <c:dPt>
            <c:idx val="1"/>
            <c:bubble3D val="0"/>
          </c:dPt>
          <c:dPt>
            <c:idx val="2"/>
            <c:bubble3D val="0"/>
          </c:dPt>
          <c:dPt>
            <c:idx val="3"/>
            <c:bubble3D val="0"/>
          </c:dPt>
          <c:dLbls>
            <c:delete val="1"/>
          </c:dLbls>
          <c:cat>
            <c:strRef>
              <c:f>Sheet1!$A$2:$A$5</c:f>
              <c:strCache>
                <c:ptCount val="2"/>
                <c:pt idx="0">
                  <c:v>一般公共预算财政拨款收入</c:v>
                </c:pt>
                <c:pt idx="1">
                  <c:v>其他收入</c:v>
                </c:pt>
              </c:strCache>
            </c:strRef>
          </c:cat>
          <c:val>
            <c:numRef>
              <c:f>Sheet1!$B$2:$B$5</c:f>
              <c:numCache>
                <c:formatCode>General</c:formatCode>
                <c:ptCount val="4"/>
                <c:pt idx="0">
                  <c:v>376.53</c:v>
                </c:pt>
                <c:pt idx="1">
                  <c:v>0.06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2017年支出</c:v>
                </c:pt>
              </c:strCache>
            </c:strRef>
          </c:tx>
          <c:explosion val="25"/>
          <c:dPt>
            <c:idx val="0"/>
            <c:bubble3D val="0"/>
          </c:dPt>
          <c:dPt>
            <c:idx val="1"/>
            <c:bubble3D val="0"/>
          </c:dPt>
          <c:dPt>
            <c:idx val="2"/>
            <c:bubble3D val="0"/>
          </c:dPt>
          <c:dPt>
            <c:idx val="3"/>
            <c:bubble3D val="0"/>
          </c:dPt>
          <c:dLbls>
            <c:delete val="1"/>
          </c:dLbls>
          <c:cat>
            <c:strRef>
              <c:f>Sheet1!$A$2:$A$5</c:f>
              <c:strCache>
                <c:ptCount val="2"/>
                <c:pt idx="0">
                  <c:v>基本支出</c:v>
                </c:pt>
                <c:pt idx="1">
                  <c:v>项目支出</c:v>
                </c:pt>
              </c:strCache>
            </c:strRef>
          </c:cat>
          <c:val>
            <c:numRef>
              <c:f>Sheet1!$B$2:$B$5</c:f>
              <c:numCache>
                <c:formatCode>General</c:formatCode>
                <c:ptCount val="4"/>
                <c:pt idx="0">
                  <c:v>215.03</c:v>
                </c:pt>
                <c:pt idx="1">
                  <c:v>163.54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Sheet1!$A$2:$A$5</c:f>
              <c:strCache>
                <c:ptCount val="4"/>
                <c:pt idx="0">
                  <c:v>2016年</c:v>
                </c:pt>
                <c:pt idx="1">
                  <c:v>2017年</c:v>
                </c:pt>
              </c:strCache>
            </c:strRef>
          </c:cat>
          <c:val>
            <c:numRef>
              <c:f>Sheet1!$B$2:$B$5</c:f>
              <c:numCache>
                <c:formatCode>General</c:formatCode>
                <c:ptCount val="4"/>
                <c:pt idx="0">
                  <c:v>209.9</c:v>
                </c:pt>
                <c:pt idx="1">
                  <c:v>376.53</c:v>
                </c:pt>
              </c:numCache>
            </c:numRef>
          </c:val>
        </c:ser>
        <c:ser>
          <c:idx val="1"/>
          <c:order val="1"/>
          <c:tx>
            <c:strRef>
              <c:f>Sheet1!$C$1</c:f>
              <c:strCache>
                <c:ptCount val="1"/>
                <c:pt idx="0">
                  <c:v>支出</c:v>
                </c:pt>
              </c:strCache>
            </c:strRef>
          </c:tx>
          <c:invertIfNegative val="0"/>
          <c:dLbls>
            <c:delete val="1"/>
          </c:dLbls>
          <c:cat>
            <c:strRef>
              <c:f>Sheet1!$A$2:$A$5</c:f>
              <c:strCache>
                <c:ptCount val="4"/>
                <c:pt idx="0">
                  <c:v>2016年</c:v>
                </c:pt>
                <c:pt idx="1">
                  <c:v>2017年</c:v>
                </c:pt>
              </c:strCache>
            </c:strRef>
          </c:cat>
          <c:val>
            <c:numRef>
              <c:f>Sheet1!$C$2:$C$5</c:f>
              <c:numCache>
                <c:formatCode>General</c:formatCode>
                <c:ptCount val="4"/>
                <c:pt idx="0">
                  <c:v>206.86</c:v>
                </c:pt>
                <c:pt idx="1">
                  <c:v>378.53</c:v>
                </c:pt>
              </c:numCache>
            </c:numRef>
          </c:val>
        </c:ser>
        <c:ser>
          <c:idx val="2"/>
          <c:order val="2"/>
          <c:tx>
            <c:strRef>
              <c:f>Sheet1!$D$1</c:f>
              <c:strCache>
                <c:ptCount val="1"/>
                <c:pt idx="0">
                  <c:v>列1</c:v>
                </c:pt>
              </c:strCache>
            </c:strRef>
          </c:tx>
          <c:invertIfNegative val="0"/>
          <c:dLbls>
            <c:delete val="1"/>
          </c:dLbls>
          <c:cat>
            <c:strRef>
              <c:f>Sheet1!$A$2:$A$5</c:f>
              <c:strCache>
                <c:ptCount val="4"/>
                <c:pt idx="0">
                  <c:v>2016年</c:v>
                </c:pt>
                <c:pt idx="1">
                  <c:v>2017年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3341952"/>
        <c:axId val="133344256"/>
      </c:barChart>
      <c:catAx>
        <c:axId val="1333419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344256"/>
        <c:crosses val="autoZero"/>
        <c:auto val="1"/>
        <c:lblAlgn val="ctr"/>
        <c:lblOffset val="100"/>
        <c:noMultiLvlLbl val="0"/>
      </c:catAx>
      <c:valAx>
        <c:axId val="1333442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3419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Sheet1!$A$2:$A$5</c:f>
              <c:strCache>
                <c:ptCount val="2"/>
                <c:pt idx="0">
                  <c:v>2016年</c:v>
                </c:pt>
                <c:pt idx="1">
                  <c:v>2017年</c:v>
                </c:pt>
              </c:strCache>
            </c:strRef>
          </c:cat>
          <c:val>
            <c:numRef>
              <c:f>Sheet1!$B$2:$B$5</c:f>
              <c:numCache>
                <c:formatCode>General</c:formatCode>
                <c:ptCount val="4"/>
                <c:pt idx="0">
                  <c:v>206.86</c:v>
                </c:pt>
                <c:pt idx="1">
                  <c:v>378.53</c:v>
                </c:pt>
              </c:numCache>
            </c:numRef>
          </c:val>
        </c:ser>
        <c:ser>
          <c:idx val="1"/>
          <c:order val="1"/>
          <c:tx>
            <c:strRef>
              <c:f>Sheet1!$C$1</c:f>
              <c:strCache>
                <c:ptCount val="1"/>
                <c:pt idx="0">
                  <c:v>列2</c:v>
                </c:pt>
              </c:strCache>
            </c:strRef>
          </c:tx>
          <c:invertIfNegative val="0"/>
          <c:dLbls>
            <c:delete val="1"/>
          </c:dLbls>
          <c:cat>
            <c:strRef>
              <c:f>Sheet1!$A$2:$A$5</c:f>
              <c:strCache>
                <c:ptCount val="2"/>
                <c:pt idx="0">
                  <c:v>2016年</c:v>
                </c:pt>
                <c:pt idx="1">
                  <c:v>2017年</c:v>
                </c:pt>
              </c:strCache>
            </c:strRef>
          </c:cat>
          <c:val>
            <c:numRef>
              <c:f>Sheet1!$C$2:$C$5</c:f>
              <c:numCache>
                <c:formatCode>General</c:formatCode>
                <c:ptCount val="4"/>
              </c:numCache>
            </c:numRef>
          </c:val>
        </c:ser>
        <c:ser>
          <c:idx val="2"/>
          <c:order val="2"/>
          <c:tx>
            <c:strRef>
              <c:f>Sheet1!$D$1</c:f>
              <c:strCache>
                <c:ptCount val="1"/>
                <c:pt idx="0">
                  <c:v>列3</c:v>
                </c:pt>
              </c:strCache>
            </c:strRef>
          </c:tx>
          <c:invertIfNegative val="0"/>
          <c:dLbls>
            <c:delete val="1"/>
          </c:dLbls>
          <c:cat>
            <c:strRef>
              <c:f>Sheet1!$A$2:$A$5</c:f>
              <c:strCache>
                <c:ptCount val="2"/>
                <c:pt idx="0">
                  <c:v>2016年</c:v>
                </c:pt>
                <c:pt idx="1">
                  <c:v>2017年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55308032"/>
        <c:axId val="155310336"/>
      </c:barChart>
      <c:catAx>
        <c:axId val="15530803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5310336"/>
        <c:crosses val="autoZero"/>
        <c:auto val="1"/>
        <c:lblAlgn val="ctr"/>
        <c:lblOffset val="100"/>
        <c:noMultiLvlLbl val="0"/>
      </c:catAx>
      <c:valAx>
        <c:axId val="1553103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553080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25"/>
          <c:dPt>
            <c:idx val="0"/>
            <c:bubble3D val="0"/>
          </c:dPt>
          <c:dPt>
            <c:idx val="1"/>
            <c:bubble3D val="0"/>
          </c:dPt>
          <c:dPt>
            <c:idx val="2"/>
            <c:bubble3D val="0"/>
          </c:dPt>
          <c:dPt>
            <c:idx val="3"/>
            <c:bubble3D val="0"/>
          </c:dPt>
          <c:dLbls>
            <c:delete val="1"/>
          </c:dLbls>
          <c:cat>
            <c:strRef>
              <c:f>Sheet1!$A$2:$A$5</c:f>
              <c:strCache>
                <c:ptCount val="4"/>
                <c:pt idx="0">
                  <c:v>一般公共服务支出</c:v>
                </c:pt>
                <c:pt idx="1">
                  <c:v>教育支出</c:v>
                </c:pt>
                <c:pt idx="2">
                  <c:v>社会保障和就业支出</c:v>
                </c:pt>
                <c:pt idx="3">
                  <c:v>医疗卫生支出</c:v>
                </c:pt>
              </c:strCache>
            </c:strRef>
          </c:cat>
          <c:val>
            <c:numRef>
              <c:f>Sheet1!$B$2:$B$5</c:f>
              <c:numCache>
                <c:formatCode>General</c:formatCode>
                <c:ptCount val="4"/>
                <c:pt idx="0">
                  <c:v>335.05</c:v>
                </c:pt>
                <c:pt idx="1">
                  <c:v>1.41</c:v>
                </c:pt>
                <c:pt idx="2">
                  <c:v>36.25</c:v>
                </c:pt>
                <c:pt idx="3">
                  <c:v>5.84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25"/>
          <c:dPt>
            <c:idx val="0"/>
            <c:bubble3D val="0"/>
          </c:dPt>
          <c:dPt>
            <c:idx val="1"/>
            <c:bubble3D val="0"/>
          </c:dPt>
          <c:dPt>
            <c:idx val="2"/>
            <c:bubble3D val="0"/>
          </c:dPt>
          <c:dPt>
            <c:idx val="3"/>
            <c:bubble3D val="0"/>
          </c:dPt>
          <c:dLbls>
            <c:delete val="1"/>
          </c:dLbls>
          <c:cat>
            <c:strRef>
              <c:f>Sheet1!$A$2:$A$5</c:f>
              <c:strCache>
                <c:ptCount val="3"/>
                <c:pt idx="0">
                  <c:v>因公出国（境）费支出</c:v>
                </c:pt>
                <c:pt idx="1">
                  <c:v>公务用车购置及运行维护费支出</c:v>
                </c:pt>
                <c:pt idx="2">
                  <c:v>公务接待费</c:v>
                </c:pt>
              </c:strCache>
            </c:strRef>
          </c:cat>
          <c:val>
            <c:numRef>
              <c:f>Sheet1!$B$2:$B$5</c:f>
              <c:numCache>
                <c:formatCode>General</c:formatCode>
                <c:ptCount val="4"/>
                <c:pt idx="0">
                  <c:v>0</c:v>
                </c:pt>
                <c:pt idx="1">
                  <c:v>0</c:v>
                </c:pt>
                <c:pt idx="2">
                  <c:v>1.31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1021</Words>
  <Characters>5826</Characters>
  <Lines>48</Lines>
  <Paragraphs>13</Paragraphs>
  <TotalTime>41</TotalTime>
  <ScaleCrop>false</ScaleCrop>
  <LinksUpToDate>false</LinksUpToDate>
  <CharactersWithSpaces>6834</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2018-08-30T01:20:00Z</dcterms:created>
  <dc:creator>张彬茜</dc:creator>
  <cp:lastModifiedBy>Administrator</cp:lastModifiedBy>
  <cp:lastPrinted>2018-07-30T03:50:00Z</cp:lastPrinted>
  <dcterms:modified xsi:type="dcterms:W3CDTF">2019-03-15T02:31:40Z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