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0" w:rsidRPr="00645FC7" w:rsidRDefault="00BA5B00" w:rsidP="00BA5B00">
      <w:pPr>
        <w:pStyle w:val="1"/>
        <w:spacing w:before="0" w:beforeAutospacing="0" w:after="0" w:afterAutospacing="0" w:line="360" w:lineRule="auto"/>
        <w:jc w:val="center"/>
        <w:rPr>
          <w:rFonts w:ascii="方正小标宋简体" w:eastAsia="方正小标宋简体" w:hAnsi="华文仿宋" w:cs="黑体"/>
          <w:b w:val="0"/>
          <w:bCs w:val="0"/>
          <w:kern w:val="2"/>
          <w:sz w:val="32"/>
          <w:szCs w:val="32"/>
        </w:rPr>
      </w:pPr>
      <w:r w:rsidRPr="00645FC7">
        <w:rPr>
          <w:rFonts w:ascii="方正小标宋简体" w:eastAsia="方正小标宋简体" w:hAnsi="华文仿宋" w:cs="黑体" w:hint="eastAsia"/>
          <w:b w:val="0"/>
          <w:bCs w:val="0"/>
          <w:kern w:val="2"/>
          <w:sz w:val="32"/>
          <w:szCs w:val="32"/>
        </w:rPr>
        <w:t>江油市人民检察院</w:t>
      </w:r>
    </w:p>
    <w:p w:rsidR="00F1361C" w:rsidRPr="00645FC7" w:rsidRDefault="005664BB" w:rsidP="00DC410D">
      <w:pPr>
        <w:spacing w:line="600" w:lineRule="exact"/>
        <w:jc w:val="center"/>
        <w:rPr>
          <w:rFonts w:ascii="方正小标宋简体" w:eastAsia="方正小标宋简体" w:hAnsi="华文仿宋"/>
          <w:color w:val="000000"/>
          <w:sz w:val="32"/>
          <w:szCs w:val="32"/>
        </w:rPr>
      </w:pPr>
      <w:r w:rsidRPr="00645FC7">
        <w:rPr>
          <w:rFonts w:ascii="方正小标宋简体" w:eastAsia="方正小标宋简体" w:hAnsi="华文仿宋" w:hint="eastAsia"/>
          <w:color w:val="000000"/>
          <w:sz w:val="32"/>
          <w:szCs w:val="32"/>
        </w:rPr>
        <w:t>2017</w:t>
      </w:r>
      <w:r w:rsidR="00F1361C" w:rsidRPr="00645FC7">
        <w:rPr>
          <w:rFonts w:ascii="方正小标宋简体" w:eastAsia="方正小标宋简体" w:hAnsi="华文仿宋" w:hint="eastAsia"/>
          <w:color w:val="000000"/>
          <w:sz w:val="32"/>
          <w:szCs w:val="32"/>
        </w:rPr>
        <w:t>年部门决算</w:t>
      </w:r>
      <w:r w:rsidR="00DC410D" w:rsidRPr="00645FC7">
        <w:rPr>
          <w:rFonts w:ascii="方正小标宋简体" w:eastAsia="方正小标宋简体" w:hAnsi="华文仿宋" w:hint="eastAsia"/>
          <w:color w:val="000000"/>
          <w:sz w:val="32"/>
          <w:szCs w:val="32"/>
        </w:rPr>
        <w:t>编制</w:t>
      </w:r>
      <w:r w:rsidR="00F1361C" w:rsidRPr="00645FC7">
        <w:rPr>
          <w:rFonts w:ascii="方正小标宋简体" w:eastAsia="方正小标宋简体" w:hAnsi="华文仿宋" w:hint="eastAsia"/>
          <w:color w:val="000000"/>
          <w:sz w:val="32"/>
          <w:szCs w:val="32"/>
        </w:rPr>
        <w:t>说明</w:t>
      </w:r>
    </w:p>
    <w:p w:rsidR="00F1361C" w:rsidRPr="00645FC7" w:rsidRDefault="00F1361C" w:rsidP="00F1361C">
      <w:pPr>
        <w:spacing w:line="600" w:lineRule="exact"/>
        <w:jc w:val="center"/>
        <w:rPr>
          <w:rFonts w:ascii="华文仿宋" w:eastAsia="华文仿宋" w:hAnsi="华文仿宋"/>
          <w:color w:val="000000"/>
          <w:sz w:val="28"/>
          <w:szCs w:val="28"/>
        </w:rPr>
      </w:pP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一、基本职能及主要工作</w:t>
      </w:r>
    </w:p>
    <w:p w:rsidR="00BA5B00" w:rsidRPr="00645FC7" w:rsidRDefault="00F1361C" w:rsidP="00D21EA8">
      <w:pPr>
        <w:pStyle w:val="a5"/>
        <w:adjustRightInd w:val="0"/>
        <w:snapToGrid w:val="0"/>
        <w:spacing w:before="93" w:line="600" w:lineRule="exact"/>
        <w:ind w:firstLineChars="210" w:firstLine="588"/>
        <w:rPr>
          <w:rFonts w:ascii="华文仿宋" w:eastAsia="华文仿宋" w:hAnsi="华文仿宋"/>
          <w:bCs/>
          <w:color w:val="000000"/>
          <w:sz w:val="28"/>
          <w:szCs w:val="28"/>
        </w:rPr>
      </w:pPr>
      <w:r w:rsidRPr="00645FC7">
        <w:rPr>
          <w:rFonts w:ascii="华文仿宋" w:eastAsia="华文仿宋" w:hAnsi="华文仿宋" w:hint="eastAsia"/>
          <w:bCs/>
          <w:color w:val="000000"/>
          <w:sz w:val="28"/>
          <w:szCs w:val="28"/>
        </w:rPr>
        <w:t>（一）主要职能。</w:t>
      </w:r>
    </w:p>
    <w:p w:rsidR="00BA5B00" w:rsidRPr="00645FC7" w:rsidRDefault="00BA5B00"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江油市人民检察院是行政单位，是中华人民共和国的法律监督机关，依法公正严格行使国家的检察权。</w:t>
      </w:r>
    </w:p>
    <w:p w:rsidR="00F1361C" w:rsidRPr="00645FC7" w:rsidRDefault="00F1361C" w:rsidP="00D21EA8">
      <w:pPr>
        <w:pStyle w:val="a5"/>
        <w:adjustRightInd w:val="0"/>
        <w:snapToGrid w:val="0"/>
        <w:spacing w:before="93" w:line="600" w:lineRule="exact"/>
        <w:ind w:firstLineChars="210" w:firstLine="588"/>
        <w:rPr>
          <w:rFonts w:ascii="华文仿宋" w:eastAsia="华文仿宋" w:hAnsi="华文仿宋"/>
          <w:bCs/>
          <w:color w:val="000000"/>
          <w:sz w:val="28"/>
          <w:szCs w:val="28"/>
        </w:rPr>
      </w:pPr>
      <w:r w:rsidRPr="00645FC7">
        <w:rPr>
          <w:rFonts w:ascii="华文仿宋" w:eastAsia="华文仿宋" w:hAnsi="华文仿宋" w:hint="eastAsia"/>
          <w:bCs/>
          <w:color w:val="000000"/>
          <w:sz w:val="28"/>
          <w:szCs w:val="28"/>
        </w:rPr>
        <w:t>（二）</w:t>
      </w:r>
      <w:r w:rsidR="005664BB" w:rsidRPr="00645FC7">
        <w:rPr>
          <w:rFonts w:ascii="华文仿宋" w:eastAsia="华文仿宋" w:hAnsi="华文仿宋" w:hint="eastAsia"/>
          <w:bCs/>
          <w:color w:val="000000"/>
          <w:sz w:val="28"/>
          <w:szCs w:val="28"/>
        </w:rPr>
        <w:t>2017</w:t>
      </w:r>
      <w:r w:rsidRPr="00645FC7">
        <w:rPr>
          <w:rFonts w:ascii="华文仿宋" w:eastAsia="华文仿宋" w:hAnsi="华文仿宋" w:hint="eastAsia"/>
          <w:bCs/>
          <w:color w:val="000000"/>
          <w:sz w:val="28"/>
          <w:szCs w:val="28"/>
        </w:rPr>
        <w:t>年重点工作完成情况。</w:t>
      </w:r>
    </w:p>
    <w:p w:rsidR="002C22D2" w:rsidRPr="00645FC7" w:rsidRDefault="002C22D2" w:rsidP="00645FC7">
      <w:pPr>
        <w:spacing w:line="360" w:lineRule="auto"/>
        <w:ind w:firstLineChars="200" w:firstLine="560"/>
        <w:rPr>
          <w:rFonts w:ascii="华文仿宋" w:eastAsia="华文仿宋" w:hAnsi="华文仿宋" w:cs="仿宋_GB2312"/>
          <w:sz w:val="28"/>
          <w:szCs w:val="28"/>
        </w:rPr>
      </w:pPr>
      <w:bookmarkStart w:id="0" w:name="OLE_LINK1"/>
      <w:r w:rsidRPr="00645FC7">
        <w:rPr>
          <w:rFonts w:ascii="华文仿宋" w:eastAsia="华文仿宋" w:hAnsi="华文仿宋" w:cs="仿宋_GB2312" w:hint="eastAsia"/>
          <w:sz w:val="28"/>
          <w:szCs w:val="28"/>
        </w:rPr>
        <w:t>2017年我院共办理刑事案件</w:t>
      </w:r>
      <w:r w:rsidR="009178E1" w:rsidRPr="00645FC7">
        <w:rPr>
          <w:rFonts w:ascii="华文仿宋" w:eastAsia="华文仿宋" w:hAnsi="华文仿宋" w:cs="仿宋_GB2312" w:hint="eastAsia"/>
          <w:sz w:val="28"/>
          <w:szCs w:val="28"/>
        </w:rPr>
        <w:t>1020</w:t>
      </w:r>
      <w:r w:rsidRPr="00645FC7">
        <w:rPr>
          <w:rFonts w:ascii="华文仿宋" w:eastAsia="华文仿宋" w:hAnsi="华文仿宋" w:cs="仿宋_GB2312" w:hint="eastAsia"/>
          <w:sz w:val="28"/>
          <w:szCs w:val="28"/>
        </w:rPr>
        <w:t>件，依法查办职务犯罪</w:t>
      </w:r>
      <w:r w:rsidR="001F592C" w:rsidRPr="00645FC7">
        <w:rPr>
          <w:rFonts w:ascii="华文仿宋" w:eastAsia="华文仿宋" w:hAnsi="华文仿宋" w:cs="仿宋_GB2312" w:hint="eastAsia"/>
          <w:sz w:val="28"/>
          <w:szCs w:val="28"/>
        </w:rPr>
        <w:t>20</w:t>
      </w:r>
      <w:r w:rsidRPr="00645FC7">
        <w:rPr>
          <w:rFonts w:ascii="华文仿宋" w:eastAsia="华文仿宋" w:hAnsi="华文仿宋" w:cs="仿宋_GB2312" w:hint="eastAsia"/>
          <w:sz w:val="28"/>
          <w:szCs w:val="28"/>
        </w:rPr>
        <w:t>件，通过办案挽回国家经济损失近1800万元。</w:t>
      </w:r>
    </w:p>
    <w:bookmarkEnd w:id="0"/>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二、部门概况</w:t>
      </w:r>
    </w:p>
    <w:p w:rsidR="00BA5B00" w:rsidRPr="00645FC7" w:rsidRDefault="00BA5B00" w:rsidP="00645FC7">
      <w:pPr>
        <w:spacing w:line="360" w:lineRule="auto"/>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江油市人民检察院是财政全额拨款单位，内设15个股室，派出检察室3个。截止2017年12月31日我院共有编制94名，实有在职人员78人。其中：</w:t>
      </w:r>
      <w:proofErr w:type="gramStart"/>
      <w:r w:rsidRPr="00645FC7">
        <w:rPr>
          <w:rFonts w:ascii="华文仿宋" w:eastAsia="华文仿宋" w:hAnsi="华文仿宋" w:cs="仿宋_GB2312" w:hint="eastAsia"/>
          <w:sz w:val="28"/>
          <w:szCs w:val="28"/>
        </w:rPr>
        <w:t>政法专项</w:t>
      </w:r>
      <w:proofErr w:type="gramEnd"/>
      <w:r w:rsidRPr="00645FC7">
        <w:rPr>
          <w:rFonts w:ascii="华文仿宋" w:eastAsia="华文仿宋" w:hAnsi="华文仿宋" w:cs="仿宋_GB2312" w:hint="eastAsia"/>
          <w:sz w:val="28"/>
          <w:szCs w:val="28"/>
        </w:rPr>
        <w:t>编制91名，实有75人；工勤编制3名，实有3人；协勤编制40名，实有40人。</w:t>
      </w: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三、收支决算总体情况</w:t>
      </w:r>
      <w:r w:rsidR="00D51276" w:rsidRPr="00645FC7">
        <w:rPr>
          <w:rFonts w:ascii="华文仿宋" w:eastAsia="华文仿宋" w:hAnsi="华文仿宋" w:hint="eastAsia"/>
          <w:color w:val="000000"/>
          <w:sz w:val="28"/>
          <w:szCs w:val="28"/>
        </w:rPr>
        <w:t>说明</w:t>
      </w:r>
    </w:p>
    <w:p w:rsidR="00095B10" w:rsidRDefault="00095B10" w:rsidP="00645FC7">
      <w:pPr>
        <w:spacing w:line="360" w:lineRule="auto"/>
        <w:ind w:firstLineChars="200" w:firstLine="560"/>
        <w:rPr>
          <w:rFonts w:ascii="华文仿宋" w:eastAsia="华文仿宋" w:hAnsi="华文仿宋" w:cs="仿宋_GB2312" w:hint="eastAsia"/>
          <w:sz w:val="28"/>
          <w:szCs w:val="28"/>
        </w:rPr>
      </w:pPr>
      <w:r w:rsidRPr="00645FC7">
        <w:rPr>
          <w:rFonts w:ascii="华文仿宋" w:eastAsia="华文仿宋" w:hAnsi="华文仿宋" w:cs="仿宋_GB2312" w:hint="eastAsia"/>
          <w:sz w:val="28"/>
          <w:szCs w:val="28"/>
        </w:rPr>
        <w:t>2017年我院收入决算总额为2803.87万元。其中：财政拨款收入2803.87万元，占100%。</w:t>
      </w:r>
      <w:r w:rsidR="00874FD0">
        <w:rPr>
          <w:rFonts w:ascii="华文仿宋" w:eastAsia="华文仿宋" w:hAnsi="华文仿宋" w:cs="仿宋_GB2312" w:hint="eastAsia"/>
          <w:sz w:val="28"/>
          <w:szCs w:val="28"/>
        </w:rPr>
        <w:t>与2016年收入合计2909.47万元相比，减少105.6万元，降低3.6%。主要原因为响应号召，厉行节约。</w:t>
      </w:r>
    </w:p>
    <w:p w:rsidR="00874FD0" w:rsidRDefault="00874FD0" w:rsidP="00645FC7">
      <w:pPr>
        <w:spacing w:line="360" w:lineRule="auto"/>
        <w:ind w:firstLineChars="200" w:firstLine="560"/>
        <w:rPr>
          <w:rFonts w:ascii="华文仿宋" w:eastAsia="华文仿宋" w:hAnsi="华文仿宋" w:cs="仿宋_GB2312" w:hint="eastAsia"/>
          <w:sz w:val="28"/>
          <w:szCs w:val="28"/>
        </w:rPr>
      </w:pPr>
    </w:p>
    <w:p w:rsidR="00874FD0" w:rsidRPr="00645FC7" w:rsidRDefault="00874FD0" w:rsidP="00645FC7">
      <w:pPr>
        <w:spacing w:line="360" w:lineRule="auto"/>
        <w:ind w:firstLineChars="200" w:firstLine="560"/>
        <w:rPr>
          <w:rFonts w:ascii="华文仿宋" w:eastAsia="华文仿宋" w:hAnsi="华文仿宋" w:cs="仿宋_GB2312"/>
          <w:sz w:val="28"/>
          <w:szCs w:val="28"/>
        </w:rPr>
      </w:pPr>
    </w:p>
    <w:p w:rsidR="007676BC" w:rsidRPr="00645FC7" w:rsidRDefault="007676BC" w:rsidP="00AD7C1B">
      <w:pPr>
        <w:spacing w:line="600" w:lineRule="exact"/>
        <w:ind w:firstLine="640"/>
        <w:rPr>
          <w:rFonts w:ascii="华文仿宋" w:eastAsia="华文仿宋" w:hAnsi="华文仿宋"/>
          <w:color w:val="000000"/>
          <w:sz w:val="28"/>
          <w:szCs w:val="28"/>
        </w:rPr>
      </w:pPr>
    </w:p>
    <w:p w:rsidR="007676BC" w:rsidRPr="00645FC7" w:rsidRDefault="007676BC" w:rsidP="00AD7C1B">
      <w:pPr>
        <w:spacing w:line="600" w:lineRule="exact"/>
        <w:ind w:firstLine="640"/>
        <w:rPr>
          <w:rFonts w:ascii="华文仿宋" w:eastAsia="华文仿宋" w:hAnsi="华文仿宋"/>
          <w:color w:val="000000"/>
          <w:sz w:val="28"/>
          <w:szCs w:val="28"/>
        </w:rPr>
      </w:pPr>
    </w:p>
    <w:p w:rsidR="007676BC" w:rsidRPr="00645FC7" w:rsidRDefault="000D3EAD" w:rsidP="00AD7C1B">
      <w:pPr>
        <w:spacing w:line="600" w:lineRule="exact"/>
        <w:ind w:firstLine="640"/>
        <w:rPr>
          <w:rFonts w:ascii="华文仿宋" w:eastAsia="华文仿宋" w:hAnsi="华文仿宋"/>
          <w:color w:val="000000"/>
          <w:sz w:val="28"/>
          <w:szCs w:val="28"/>
        </w:rPr>
      </w:pPr>
      <w:r>
        <w:rPr>
          <w:rFonts w:ascii="华文仿宋" w:eastAsia="华文仿宋" w:hAnsi="华文仿宋"/>
          <w:noProof/>
          <w:sz w:val="28"/>
          <w:szCs w:val="28"/>
        </w:rPr>
        <w:drawing>
          <wp:anchor distT="0" distB="0" distL="114300" distR="114300" simplePos="0" relativeHeight="251655168" behindDoc="0" locked="0" layoutInCell="1" allowOverlap="1">
            <wp:simplePos x="0" y="0"/>
            <wp:positionH relativeFrom="column">
              <wp:posOffset>434976</wp:posOffset>
            </wp:positionH>
            <wp:positionV relativeFrom="paragraph">
              <wp:posOffset>-590382</wp:posOffset>
            </wp:positionV>
            <wp:extent cx="4284344" cy="2363302"/>
            <wp:effectExtent l="11431" t="5248" r="6350" b="0"/>
            <wp:wrapNone/>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7676BC" w:rsidRPr="00645FC7" w:rsidRDefault="007676BC" w:rsidP="00645FC7">
      <w:pPr>
        <w:spacing w:line="600" w:lineRule="exact"/>
        <w:ind w:firstLineChars="200" w:firstLine="560"/>
        <w:rPr>
          <w:rFonts w:ascii="华文仿宋" w:eastAsia="华文仿宋" w:hAnsi="华文仿宋"/>
          <w:color w:val="000000"/>
          <w:sz w:val="28"/>
          <w:szCs w:val="28"/>
        </w:rPr>
      </w:pPr>
    </w:p>
    <w:p w:rsidR="00874FD0" w:rsidRDefault="00874FD0" w:rsidP="00645FC7">
      <w:pPr>
        <w:tabs>
          <w:tab w:val="left" w:pos="4490"/>
        </w:tabs>
        <w:spacing w:line="600" w:lineRule="exact"/>
        <w:ind w:firstLineChars="200" w:firstLine="560"/>
        <w:rPr>
          <w:rFonts w:ascii="华文仿宋" w:eastAsia="华文仿宋" w:hAnsi="华文仿宋" w:cs="仿宋_GB2312" w:hint="eastAsia"/>
          <w:sz w:val="28"/>
          <w:szCs w:val="28"/>
        </w:rPr>
      </w:pPr>
    </w:p>
    <w:p w:rsidR="00874FD0" w:rsidRDefault="00874FD0" w:rsidP="00645FC7">
      <w:pPr>
        <w:tabs>
          <w:tab w:val="left" w:pos="4490"/>
        </w:tabs>
        <w:spacing w:line="600" w:lineRule="exact"/>
        <w:ind w:firstLineChars="200" w:firstLine="560"/>
        <w:rPr>
          <w:rFonts w:ascii="华文仿宋" w:eastAsia="华文仿宋" w:hAnsi="华文仿宋" w:cs="仿宋_GB2312" w:hint="eastAsia"/>
          <w:sz w:val="28"/>
          <w:szCs w:val="28"/>
        </w:rPr>
      </w:pPr>
    </w:p>
    <w:p w:rsidR="00874FD0" w:rsidRDefault="00874FD0" w:rsidP="00645FC7">
      <w:pPr>
        <w:tabs>
          <w:tab w:val="left" w:pos="4490"/>
        </w:tabs>
        <w:spacing w:line="600" w:lineRule="exact"/>
        <w:ind w:firstLineChars="200" w:firstLine="560"/>
        <w:rPr>
          <w:rFonts w:ascii="华文仿宋" w:eastAsia="华文仿宋" w:hAnsi="华文仿宋" w:cs="仿宋_GB2312" w:hint="eastAsia"/>
          <w:sz w:val="28"/>
          <w:szCs w:val="28"/>
        </w:rPr>
      </w:pPr>
    </w:p>
    <w:p w:rsidR="00CF6DE9" w:rsidRPr="00645FC7" w:rsidRDefault="00CF6DE9" w:rsidP="00645FC7">
      <w:pPr>
        <w:tabs>
          <w:tab w:val="left" w:pos="4490"/>
        </w:tabs>
        <w:spacing w:line="60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2017年支出合计为2709.1万元，其中：公共安全支出2425.1万元，占</w:t>
      </w:r>
      <w:r w:rsidR="00CD5628" w:rsidRPr="00645FC7">
        <w:rPr>
          <w:rFonts w:ascii="华文仿宋" w:eastAsia="华文仿宋" w:hAnsi="华文仿宋" w:cs="仿宋_GB2312" w:hint="eastAsia"/>
          <w:sz w:val="28"/>
          <w:szCs w:val="28"/>
        </w:rPr>
        <w:t>89.52</w:t>
      </w:r>
      <w:r w:rsidRPr="00645FC7">
        <w:rPr>
          <w:rFonts w:ascii="华文仿宋" w:eastAsia="华文仿宋" w:hAnsi="华文仿宋" w:cs="仿宋_GB2312" w:hint="eastAsia"/>
          <w:sz w:val="28"/>
          <w:szCs w:val="28"/>
        </w:rPr>
        <w:t>%，教育支出8.26万元，占0.3%，社会保障和就业支出241.42万元，占</w:t>
      </w:r>
      <w:r w:rsidR="00CD5628" w:rsidRPr="00645FC7">
        <w:rPr>
          <w:rFonts w:ascii="华文仿宋" w:eastAsia="华文仿宋" w:hAnsi="华文仿宋" w:cs="仿宋_GB2312" w:hint="eastAsia"/>
          <w:sz w:val="28"/>
          <w:szCs w:val="28"/>
        </w:rPr>
        <w:t>8.91</w:t>
      </w:r>
      <w:r w:rsidRPr="00645FC7">
        <w:rPr>
          <w:rFonts w:ascii="华文仿宋" w:eastAsia="华文仿宋" w:hAnsi="华文仿宋" w:cs="仿宋_GB2312" w:hint="eastAsia"/>
          <w:sz w:val="28"/>
          <w:szCs w:val="28"/>
        </w:rPr>
        <w:t>%，医疗卫生和计划生育支出34.32万元，</w:t>
      </w:r>
      <w:r w:rsidR="00CD5628" w:rsidRPr="00645FC7">
        <w:rPr>
          <w:rFonts w:ascii="华文仿宋" w:eastAsia="华文仿宋" w:hAnsi="华文仿宋" w:cs="仿宋_GB2312" w:hint="eastAsia"/>
          <w:sz w:val="28"/>
          <w:szCs w:val="28"/>
        </w:rPr>
        <w:t>占1.27</w:t>
      </w:r>
      <w:r w:rsidRPr="00645FC7">
        <w:rPr>
          <w:rFonts w:ascii="华文仿宋" w:eastAsia="华文仿宋" w:hAnsi="华文仿宋" w:cs="仿宋_GB2312" w:hint="eastAsia"/>
          <w:sz w:val="28"/>
          <w:szCs w:val="28"/>
        </w:rPr>
        <w:t>%。</w:t>
      </w:r>
      <w:r w:rsidR="00874FD0">
        <w:rPr>
          <w:rFonts w:ascii="华文仿宋" w:eastAsia="华文仿宋" w:hAnsi="华文仿宋" w:cs="仿宋_GB2312" w:hint="eastAsia"/>
          <w:sz w:val="28"/>
          <w:szCs w:val="28"/>
        </w:rPr>
        <w:t>与2016年支出合计2493.64万元相比，增加215.46万元，增长8.6%，主要原因为查办职务犯罪办案开支增多。</w:t>
      </w:r>
    </w:p>
    <w:p w:rsidR="007676BC" w:rsidRPr="00645FC7" w:rsidRDefault="000D3EAD" w:rsidP="00645FC7">
      <w:pPr>
        <w:spacing w:line="600" w:lineRule="exact"/>
        <w:ind w:firstLineChars="200" w:firstLine="560"/>
        <w:rPr>
          <w:rFonts w:ascii="华文仿宋" w:eastAsia="华文仿宋" w:hAnsi="华文仿宋"/>
          <w:color w:val="000000"/>
          <w:sz w:val="28"/>
          <w:szCs w:val="28"/>
        </w:rPr>
      </w:pPr>
      <w:r>
        <w:rPr>
          <w:rFonts w:ascii="华文仿宋" w:eastAsia="华文仿宋" w:hAnsi="华文仿宋"/>
          <w:noProof/>
          <w:sz w:val="28"/>
          <w:szCs w:val="28"/>
        </w:rPr>
        <w:drawing>
          <wp:anchor distT="0" distB="0" distL="114300" distR="114300" simplePos="0" relativeHeight="251656192" behindDoc="0" locked="0" layoutInCell="1" allowOverlap="1">
            <wp:simplePos x="0" y="0"/>
            <wp:positionH relativeFrom="column">
              <wp:posOffset>434976</wp:posOffset>
            </wp:positionH>
            <wp:positionV relativeFrom="paragraph">
              <wp:posOffset>180388</wp:posOffset>
            </wp:positionV>
            <wp:extent cx="4284344" cy="2595197"/>
            <wp:effectExtent l="11431" t="5763" r="6350" b="635"/>
            <wp:wrapNone/>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7676BC" w:rsidRPr="00645FC7" w:rsidRDefault="007676BC"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四、财政拨款</w:t>
      </w:r>
      <w:r w:rsidR="005664BB" w:rsidRPr="00645FC7">
        <w:rPr>
          <w:rFonts w:ascii="华文仿宋" w:eastAsia="华文仿宋" w:hAnsi="华文仿宋" w:hint="eastAsia"/>
          <w:color w:val="000000"/>
          <w:sz w:val="28"/>
          <w:szCs w:val="28"/>
        </w:rPr>
        <w:t>收入支出决算总体</w:t>
      </w:r>
      <w:r w:rsidRPr="00645FC7">
        <w:rPr>
          <w:rFonts w:ascii="华文仿宋" w:eastAsia="华文仿宋" w:hAnsi="华文仿宋" w:hint="eastAsia"/>
          <w:color w:val="000000"/>
          <w:sz w:val="28"/>
          <w:szCs w:val="28"/>
        </w:rPr>
        <w:t>情况</w:t>
      </w:r>
      <w:r w:rsidR="00D51276" w:rsidRPr="00645FC7">
        <w:rPr>
          <w:rFonts w:ascii="华文仿宋" w:eastAsia="华文仿宋" w:hAnsi="华文仿宋" w:hint="eastAsia"/>
          <w:color w:val="000000"/>
          <w:sz w:val="28"/>
          <w:szCs w:val="28"/>
        </w:rPr>
        <w:t>说明</w:t>
      </w:r>
    </w:p>
    <w:p w:rsidR="005664BB" w:rsidRPr="00645FC7" w:rsidRDefault="005664BB"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w:t>
      </w:r>
      <w:r w:rsidR="005D5CED" w:rsidRPr="00645FC7">
        <w:rPr>
          <w:rFonts w:ascii="华文仿宋" w:eastAsia="华文仿宋" w:hAnsi="华文仿宋" w:hint="eastAsia"/>
          <w:color w:val="000000"/>
          <w:sz w:val="28"/>
          <w:szCs w:val="28"/>
        </w:rPr>
        <w:t>年度财政拨款</w:t>
      </w:r>
      <w:r w:rsidRPr="00645FC7">
        <w:rPr>
          <w:rFonts w:ascii="华文仿宋" w:eastAsia="华文仿宋" w:hAnsi="华文仿宋" w:hint="eastAsia"/>
          <w:color w:val="000000"/>
          <w:sz w:val="28"/>
          <w:szCs w:val="28"/>
        </w:rPr>
        <w:t>收、支总计</w:t>
      </w:r>
      <w:r w:rsidR="00CD5628" w:rsidRPr="00645FC7">
        <w:rPr>
          <w:rFonts w:ascii="华文仿宋" w:eastAsia="华文仿宋" w:hAnsi="华文仿宋" w:hint="eastAsia"/>
          <w:color w:val="000000"/>
          <w:sz w:val="28"/>
          <w:szCs w:val="28"/>
        </w:rPr>
        <w:t>3180.93</w:t>
      </w:r>
      <w:r w:rsidR="00F1361C" w:rsidRPr="00645FC7">
        <w:rPr>
          <w:rFonts w:ascii="华文仿宋" w:eastAsia="华文仿宋" w:hAnsi="华文仿宋" w:hint="eastAsia"/>
          <w:color w:val="000000"/>
          <w:sz w:val="28"/>
          <w:szCs w:val="28"/>
        </w:rPr>
        <w:t>万元。与</w:t>
      </w:r>
      <w:r w:rsidRPr="00645FC7">
        <w:rPr>
          <w:rFonts w:ascii="华文仿宋" w:eastAsia="华文仿宋" w:hAnsi="华文仿宋" w:hint="eastAsia"/>
          <w:color w:val="000000"/>
          <w:sz w:val="28"/>
          <w:szCs w:val="28"/>
        </w:rPr>
        <w:t>2016</w:t>
      </w:r>
      <w:r w:rsidR="00F1361C" w:rsidRPr="00645FC7">
        <w:rPr>
          <w:rFonts w:ascii="华文仿宋" w:eastAsia="华文仿宋" w:hAnsi="华文仿宋" w:hint="eastAsia"/>
          <w:color w:val="000000"/>
          <w:sz w:val="28"/>
          <w:szCs w:val="28"/>
        </w:rPr>
        <w:t>年相比，财政拨款收、支</w:t>
      </w:r>
      <w:r w:rsidR="005D5CED" w:rsidRPr="00645FC7">
        <w:rPr>
          <w:rFonts w:ascii="华文仿宋" w:eastAsia="华文仿宋" w:hAnsi="华文仿宋" w:hint="eastAsia"/>
          <w:color w:val="000000"/>
          <w:sz w:val="28"/>
          <w:szCs w:val="28"/>
        </w:rPr>
        <w:t>总计</w:t>
      </w:r>
      <w:r w:rsidR="00F1361C" w:rsidRPr="00645FC7">
        <w:rPr>
          <w:rFonts w:ascii="华文仿宋" w:eastAsia="华文仿宋" w:hAnsi="华文仿宋" w:hint="eastAsia"/>
          <w:color w:val="000000"/>
          <w:sz w:val="28"/>
          <w:szCs w:val="28"/>
        </w:rPr>
        <w:t>减少</w:t>
      </w:r>
      <w:r w:rsidR="00CD5628" w:rsidRPr="00645FC7">
        <w:rPr>
          <w:rFonts w:ascii="华文仿宋" w:eastAsia="华文仿宋" w:hAnsi="华文仿宋" w:hint="eastAsia"/>
          <w:color w:val="000000"/>
          <w:sz w:val="28"/>
          <w:szCs w:val="28"/>
        </w:rPr>
        <w:t>35.73</w:t>
      </w:r>
      <w:r w:rsidR="00F1361C" w:rsidRPr="00645FC7">
        <w:rPr>
          <w:rFonts w:ascii="华文仿宋" w:eastAsia="华文仿宋" w:hAnsi="华文仿宋" w:hint="eastAsia"/>
          <w:color w:val="000000"/>
          <w:sz w:val="28"/>
          <w:szCs w:val="28"/>
        </w:rPr>
        <w:t>万元，下降</w:t>
      </w:r>
      <w:r w:rsidR="00CD5628" w:rsidRPr="00645FC7">
        <w:rPr>
          <w:rFonts w:ascii="华文仿宋" w:eastAsia="华文仿宋" w:hAnsi="华文仿宋" w:hint="eastAsia"/>
          <w:color w:val="000000"/>
          <w:sz w:val="28"/>
          <w:szCs w:val="28"/>
        </w:rPr>
        <w:t>1.1</w:t>
      </w:r>
      <w:r w:rsidR="00F1361C" w:rsidRPr="00645FC7">
        <w:rPr>
          <w:rFonts w:ascii="华文仿宋" w:eastAsia="华文仿宋" w:hAnsi="华文仿宋" w:hint="eastAsia"/>
          <w:color w:val="000000"/>
          <w:sz w:val="28"/>
          <w:szCs w:val="28"/>
        </w:rPr>
        <w:t>%</w:t>
      </w:r>
      <w:r w:rsidR="00191536" w:rsidRPr="00645FC7">
        <w:rPr>
          <w:rFonts w:ascii="华文仿宋" w:eastAsia="华文仿宋" w:hAnsi="华文仿宋" w:hint="eastAsia"/>
          <w:color w:val="000000"/>
          <w:sz w:val="28"/>
          <w:szCs w:val="28"/>
        </w:rPr>
        <w:t>。</w:t>
      </w: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CD5628" w:rsidRPr="00645FC7" w:rsidRDefault="000D3EAD" w:rsidP="00645FC7">
      <w:pPr>
        <w:spacing w:line="600" w:lineRule="exact"/>
        <w:ind w:firstLineChars="200" w:firstLine="560"/>
        <w:rPr>
          <w:rFonts w:ascii="华文仿宋" w:eastAsia="华文仿宋" w:hAnsi="华文仿宋"/>
          <w:color w:val="000000"/>
          <w:sz w:val="28"/>
          <w:szCs w:val="28"/>
        </w:rPr>
      </w:pPr>
      <w:r>
        <w:rPr>
          <w:rFonts w:ascii="华文仿宋" w:eastAsia="华文仿宋" w:hAnsi="华文仿宋"/>
          <w:noProof/>
          <w:sz w:val="28"/>
          <w:szCs w:val="28"/>
        </w:rPr>
        <w:drawing>
          <wp:anchor distT="0" distB="0" distL="114300" distR="114300" simplePos="0" relativeHeight="251657216" behindDoc="0" locked="0" layoutInCell="1" allowOverlap="1">
            <wp:simplePos x="0" y="0"/>
            <wp:positionH relativeFrom="column">
              <wp:posOffset>776047</wp:posOffset>
            </wp:positionH>
            <wp:positionV relativeFrom="paragraph">
              <wp:posOffset>-440204</wp:posOffset>
            </wp:positionV>
            <wp:extent cx="3913500" cy="2346856"/>
            <wp:effectExtent l="10872" t="5566" r="4373" b="2158"/>
            <wp:wrapNone/>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D5628" w:rsidRPr="00645FC7" w:rsidRDefault="00CD5628" w:rsidP="00645FC7">
      <w:pPr>
        <w:spacing w:line="600" w:lineRule="exact"/>
        <w:ind w:firstLineChars="200" w:firstLine="560"/>
        <w:rPr>
          <w:rFonts w:ascii="华文仿宋" w:eastAsia="华文仿宋" w:hAnsi="华文仿宋"/>
          <w:color w:val="000000"/>
          <w:sz w:val="28"/>
          <w:szCs w:val="28"/>
        </w:rPr>
      </w:pPr>
    </w:p>
    <w:p w:rsidR="00A44323" w:rsidRPr="00645FC7" w:rsidRDefault="00A44323" w:rsidP="00645FC7">
      <w:pPr>
        <w:spacing w:line="600" w:lineRule="exact"/>
        <w:ind w:firstLineChars="200" w:firstLine="560"/>
        <w:rPr>
          <w:rFonts w:ascii="华文仿宋" w:eastAsia="华文仿宋" w:hAnsi="华文仿宋"/>
          <w:color w:val="000000"/>
          <w:sz w:val="28"/>
          <w:szCs w:val="28"/>
        </w:rPr>
      </w:pPr>
    </w:p>
    <w:p w:rsidR="00A44323" w:rsidRPr="00645FC7" w:rsidRDefault="00A44323" w:rsidP="00645FC7">
      <w:pPr>
        <w:spacing w:line="600" w:lineRule="exact"/>
        <w:ind w:firstLineChars="200" w:firstLine="560"/>
        <w:rPr>
          <w:rFonts w:ascii="华文仿宋" w:eastAsia="华文仿宋" w:hAnsi="华文仿宋"/>
          <w:color w:val="000000"/>
          <w:sz w:val="28"/>
          <w:szCs w:val="28"/>
        </w:rPr>
      </w:pPr>
    </w:p>
    <w:p w:rsidR="00A44323" w:rsidRPr="00645FC7" w:rsidRDefault="00A44323" w:rsidP="00645FC7">
      <w:pPr>
        <w:spacing w:line="600" w:lineRule="exact"/>
        <w:ind w:firstLineChars="200" w:firstLine="560"/>
        <w:rPr>
          <w:rFonts w:ascii="华文仿宋" w:eastAsia="华文仿宋" w:hAnsi="华文仿宋"/>
          <w:color w:val="000000"/>
          <w:sz w:val="28"/>
          <w:szCs w:val="28"/>
        </w:rPr>
      </w:pPr>
    </w:p>
    <w:p w:rsidR="00A44323" w:rsidRPr="00645FC7" w:rsidRDefault="00A44323" w:rsidP="00645FC7">
      <w:pPr>
        <w:spacing w:line="600" w:lineRule="exact"/>
        <w:ind w:firstLineChars="200" w:firstLine="560"/>
        <w:rPr>
          <w:rFonts w:ascii="华文仿宋" w:eastAsia="华文仿宋" w:hAnsi="华文仿宋"/>
          <w:color w:val="000000"/>
          <w:sz w:val="28"/>
          <w:szCs w:val="28"/>
        </w:rPr>
      </w:pP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五、一般公共预算财政拨款支出决算情况</w:t>
      </w:r>
      <w:r w:rsidR="00D51276" w:rsidRPr="00645FC7">
        <w:rPr>
          <w:rFonts w:ascii="华文仿宋" w:eastAsia="华文仿宋" w:hAnsi="华文仿宋" w:hint="eastAsia"/>
          <w:color w:val="000000"/>
          <w:sz w:val="28"/>
          <w:szCs w:val="28"/>
        </w:rPr>
        <w:t>说明</w:t>
      </w: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（一）一般公共预算财政拨款支出决算总体情况</w:t>
      </w:r>
    </w:p>
    <w:p w:rsidR="005664BB" w:rsidRPr="00645FC7" w:rsidRDefault="005664BB"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w:t>
      </w:r>
      <w:r w:rsidR="00F1361C" w:rsidRPr="00645FC7">
        <w:rPr>
          <w:rFonts w:ascii="华文仿宋" w:eastAsia="华文仿宋" w:hAnsi="华文仿宋" w:hint="eastAsia"/>
          <w:color w:val="000000"/>
          <w:sz w:val="28"/>
          <w:szCs w:val="28"/>
        </w:rPr>
        <w:t>年度一般公共预算财政拨款支出</w:t>
      </w:r>
      <w:r w:rsidR="00A44323" w:rsidRPr="00645FC7">
        <w:rPr>
          <w:rFonts w:ascii="华文仿宋" w:eastAsia="华文仿宋" w:hAnsi="华文仿宋" w:hint="eastAsia"/>
          <w:color w:val="000000"/>
          <w:sz w:val="28"/>
          <w:szCs w:val="28"/>
        </w:rPr>
        <w:t>2709.1</w:t>
      </w:r>
      <w:r w:rsidR="00F1361C" w:rsidRPr="00645FC7">
        <w:rPr>
          <w:rFonts w:ascii="华文仿宋" w:eastAsia="华文仿宋" w:hAnsi="华文仿宋" w:hint="eastAsia"/>
          <w:color w:val="000000"/>
          <w:sz w:val="28"/>
          <w:szCs w:val="28"/>
        </w:rPr>
        <w:t>万元，占本年支出合计的</w:t>
      </w:r>
      <w:r w:rsidR="00A44323" w:rsidRPr="00645FC7">
        <w:rPr>
          <w:rFonts w:ascii="华文仿宋" w:eastAsia="华文仿宋" w:hAnsi="华文仿宋" w:hint="eastAsia"/>
          <w:color w:val="000000"/>
          <w:sz w:val="28"/>
          <w:szCs w:val="28"/>
        </w:rPr>
        <w:t>100</w:t>
      </w:r>
      <w:r w:rsidR="00F1361C" w:rsidRPr="00645FC7">
        <w:rPr>
          <w:rFonts w:ascii="华文仿宋" w:eastAsia="华文仿宋" w:hAnsi="华文仿宋" w:hint="eastAsia"/>
          <w:color w:val="000000"/>
          <w:sz w:val="28"/>
          <w:szCs w:val="28"/>
        </w:rPr>
        <w:t>%。与</w:t>
      </w:r>
      <w:r w:rsidRPr="00645FC7">
        <w:rPr>
          <w:rFonts w:ascii="华文仿宋" w:eastAsia="华文仿宋" w:hAnsi="华文仿宋" w:hint="eastAsia"/>
          <w:color w:val="000000"/>
          <w:sz w:val="28"/>
          <w:szCs w:val="28"/>
        </w:rPr>
        <w:t>2016</w:t>
      </w:r>
      <w:r w:rsidR="00F1361C" w:rsidRPr="00645FC7">
        <w:rPr>
          <w:rFonts w:ascii="华文仿宋" w:eastAsia="华文仿宋" w:hAnsi="华文仿宋" w:hint="eastAsia"/>
          <w:color w:val="000000"/>
          <w:sz w:val="28"/>
          <w:szCs w:val="28"/>
        </w:rPr>
        <w:t>年相比，一般公共预算财政拨款增加</w:t>
      </w:r>
      <w:r w:rsidR="00A44323" w:rsidRPr="00645FC7">
        <w:rPr>
          <w:rFonts w:ascii="华文仿宋" w:eastAsia="华文仿宋" w:hAnsi="华文仿宋" w:hint="eastAsia"/>
          <w:color w:val="000000"/>
          <w:sz w:val="28"/>
          <w:szCs w:val="28"/>
        </w:rPr>
        <w:t>215.46</w:t>
      </w:r>
      <w:r w:rsidR="00F1361C" w:rsidRPr="00645FC7">
        <w:rPr>
          <w:rFonts w:ascii="华文仿宋" w:eastAsia="华文仿宋" w:hAnsi="华文仿宋" w:hint="eastAsia"/>
          <w:color w:val="000000"/>
          <w:sz w:val="28"/>
          <w:szCs w:val="28"/>
        </w:rPr>
        <w:t>万元，</w:t>
      </w:r>
      <w:r w:rsidR="00C03E31" w:rsidRPr="00645FC7">
        <w:rPr>
          <w:rFonts w:ascii="华文仿宋" w:eastAsia="华文仿宋" w:hAnsi="华文仿宋" w:hint="eastAsia"/>
          <w:color w:val="000000"/>
          <w:sz w:val="28"/>
          <w:szCs w:val="28"/>
        </w:rPr>
        <w:t>增长</w:t>
      </w:r>
      <w:r w:rsidR="00ED4AC2" w:rsidRPr="00645FC7">
        <w:rPr>
          <w:rFonts w:ascii="华文仿宋" w:eastAsia="华文仿宋" w:hAnsi="华文仿宋" w:hint="eastAsia"/>
          <w:color w:val="000000"/>
          <w:sz w:val="28"/>
          <w:szCs w:val="28"/>
        </w:rPr>
        <w:t>8.6</w:t>
      </w:r>
      <w:r w:rsidR="00F1361C" w:rsidRPr="00645FC7">
        <w:rPr>
          <w:rFonts w:ascii="华文仿宋" w:eastAsia="华文仿宋" w:hAnsi="华文仿宋" w:hint="eastAsia"/>
          <w:color w:val="000000"/>
          <w:sz w:val="28"/>
          <w:szCs w:val="28"/>
        </w:rPr>
        <w:t>%。</w:t>
      </w:r>
    </w:p>
    <w:p w:rsidR="00ED4AC2" w:rsidRPr="00645FC7" w:rsidRDefault="000D3EAD" w:rsidP="00645FC7">
      <w:pPr>
        <w:spacing w:line="600" w:lineRule="exact"/>
        <w:ind w:firstLineChars="200" w:firstLine="560"/>
        <w:rPr>
          <w:rFonts w:ascii="华文仿宋" w:eastAsia="华文仿宋" w:hAnsi="华文仿宋"/>
          <w:color w:val="000000"/>
          <w:sz w:val="28"/>
          <w:szCs w:val="28"/>
        </w:rPr>
      </w:pPr>
      <w:r>
        <w:rPr>
          <w:rFonts w:ascii="华文仿宋" w:eastAsia="华文仿宋" w:hAnsi="华文仿宋"/>
          <w:noProof/>
          <w:sz w:val="28"/>
          <w:szCs w:val="28"/>
        </w:rPr>
        <w:drawing>
          <wp:anchor distT="0" distB="0" distL="114300" distR="114300" simplePos="0" relativeHeight="251658240" behindDoc="0" locked="0" layoutInCell="1" allowOverlap="1">
            <wp:simplePos x="0" y="0"/>
            <wp:positionH relativeFrom="column">
              <wp:posOffset>775865</wp:posOffset>
            </wp:positionH>
            <wp:positionV relativeFrom="paragraph">
              <wp:posOffset>13631</wp:posOffset>
            </wp:positionV>
            <wp:extent cx="4006690" cy="2420959"/>
            <wp:effectExtent l="11325" t="5376" r="5345" b="0"/>
            <wp:wrapNone/>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D4AC2" w:rsidRPr="00645FC7" w:rsidRDefault="00ED4AC2" w:rsidP="00645FC7">
      <w:pPr>
        <w:spacing w:line="600" w:lineRule="exact"/>
        <w:ind w:firstLineChars="200" w:firstLine="560"/>
        <w:rPr>
          <w:rFonts w:ascii="华文仿宋" w:eastAsia="华文仿宋" w:hAnsi="华文仿宋"/>
          <w:color w:val="000000"/>
          <w:sz w:val="28"/>
          <w:szCs w:val="28"/>
        </w:rPr>
      </w:pPr>
    </w:p>
    <w:p w:rsidR="00ED4AC2" w:rsidRPr="00645FC7" w:rsidRDefault="00ED4AC2" w:rsidP="00645FC7">
      <w:pPr>
        <w:spacing w:line="600" w:lineRule="exact"/>
        <w:ind w:firstLineChars="200" w:firstLine="560"/>
        <w:rPr>
          <w:rFonts w:ascii="华文仿宋" w:eastAsia="华文仿宋" w:hAnsi="华文仿宋"/>
          <w:color w:val="000000"/>
          <w:sz w:val="28"/>
          <w:szCs w:val="28"/>
        </w:rPr>
      </w:pPr>
    </w:p>
    <w:p w:rsidR="00ED4AC2" w:rsidRPr="00645FC7" w:rsidRDefault="00ED4AC2" w:rsidP="00645FC7">
      <w:pPr>
        <w:spacing w:line="600" w:lineRule="exact"/>
        <w:ind w:firstLineChars="200" w:firstLine="560"/>
        <w:rPr>
          <w:rFonts w:ascii="华文仿宋" w:eastAsia="华文仿宋" w:hAnsi="华文仿宋"/>
          <w:color w:val="000000"/>
          <w:sz w:val="28"/>
          <w:szCs w:val="28"/>
        </w:rPr>
      </w:pPr>
    </w:p>
    <w:p w:rsidR="00ED4AC2" w:rsidRPr="00645FC7" w:rsidRDefault="00ED4AC2" w:rsidP="00645FC7">
      <w:pPr>
        <w:spacing w:line="600" w:lineRule="exact"/>
        <w:ind w:firstLineChars="200" w:firstLine="560"/>
        <w:rPr>
          <w:rFonts w:ascii="华文仿宋" w:eastAsia="华文仿宋" w:hAnsi="华文仿宋"/>
          <w:color w:val="000000"/>
          <w:sz w:val="28"/>
          <w:szCs w:val="28"/>
        </w:rPr>
      </w:pPr>
    </w:p>
    <w:p w:rsidR="00ED4AC2" w:rsidRPr="00645FC7" w:rsidRDefault="00ED4AC2" w:rsidP="00645FC7">
      <w:pPr>
        <w:spacing w:line="600" w:lineRule="exact"/>
        <w:ind w:firstLineChars="200" w:firstLine="560"/>
        <w:rPr>
          <w:rFonts w:ascii="华文仿宋" w:eastAsia="华文仿宋" w:hAnsi="华文仿宋"/>
          <w:color w:val="000000"/>
          <w:sz w:val="28"/>
          <w:szCs w:val="28"/>
        </w:rPr>
      </w:pP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（二）一般公共预算财政拨款支出决算结构情况</w:t>
      </w:r>
    </w:p>
    <w:p w:rsidR="00ED4AC2" w:rsidRPr="00645FC7" w:rsidRDefault="005664BB" w:rsidP="00645FC7">
      <w:pPr>
        <w:spacing w:line="360" w:lineRule="auto"/>
        <w:ind w:firstLineChars="200" w:firstLine="560"/>
        <w:rPr>
          <w:rFonts w:ascii="华文仿宋" w:eastAsia="华文仿宋" w:hAnsi="华文仿宋" w:cs="仿宋_GB2312"/>
          <w:sz w:val="28"/>
          <w:szCs w:val="28"/>
        </w:rPr>
      </w:pPr>
      <w:r w:rsidRPr="00645FC7">
        <w:rPr>
          <w:rFonts w:ascii="华文仿宋" w:eastAsia="华文仿宋" w:hAnsi="华文仿宋" w:hint="eastAsia"/>
          <w:color w:val="000000"/>
          <w:sz w:val="28"/>
          <w:szCs w:val="28"/>
        </w:rPr>
        <w:t>2017</w:t>
      </w:r>
      <w:r w:rsidR="00F1361C" w:rsidRPr="00645FC7">
        <w:rPr>
          <w:rFonts w:ascii="华文仿宋" w:eastAsia="华文仿宋" w:hAnsi="华文仿宋" w:hint="eastAsia"/>
          <w:color w:val="000000"/>
          <w:sz w:val="28"/>
          <w:szCs w:val="28"/>
        </w:rPr>
        <w:t>年一般公共预算财政拨款支出</w:t>
      </w:r>
      <w:r w:rsidR="00ED4AC2" w:rsidRPr="00645FC7">
        <w:rPr>
          <w:rFonts w:ascii="华文仿宋" w:eastAsia="华文仿宋" w:hAnsi="华文仿宋" w:hint="eastAsia"/>
          <w:color w:val="000000"/>
          <w:sz w:val="28"/>
          <w:szCs w:val="28"/>
        </w:rPr>
        <w:t>2709.1万元，主要用</w:t>
      </w:r>
      <w:r w:rsidR="00F1361C" w:rsidRPr="00645FC7">
        <w:rPr>
          <w:rFonts w:ascii="华文仿宋" w:eastAsia="华文仿宋" w:hAnsi="华文仿宋" w:hint="eastAsia"/>
          <w:color w:val="000000"/>
          <w:sz w:val="28"/>
          <w:szCs w:val="28"/>
        </w:rPr>
        <w:t>于以下方面:</w:t>
      </w:r>
      <w:r w:rsidR="00ED4AC2" w:rsidRPr="00645FC7">
        <w:rPr>
          <w:rFonts w:ascii="华文仿宋" w:eastAsia="华文仿宋" w:hAnsi="华文仿宋" w:cs="仿宋_GB2312" w:hint="eastAsia"/>
          <w:sz w:val="28"/>
          <w:szCs w:val="28"/>
        </w:rPr>
        <w:t xml:space="preserve"> 公共安全支出2425.1万元，占89.52%，教育支出8.26万元，占0.3%，社会保障和就业支出241.42万元，占8.91%，医疗卫生和计划</w:t>
      </w:r>
      <w:r w:rsidR="00ED4AC2" w:rsidRPr="00645FC7">
        <w:rPr>
          <w:rFonts w:ascii="华文仿宋" w:eastAsia="华文仿宋" w:hAnsi="华文仿宋" w:cs="仿宋_GB2312" w:hint="eastAsia"/>
          <w:sz w:val="28"/>
          <w:szCs w:val="28"/>
        </w:rPr>
        <w:lastRenderedPageBreak/>
        <w:t>生育支出34.32万元，占1.27%。</w:t>
      </w:r>
    </w:p>
    <w:p w:rsidR="00ED4AC2" w:rsidRPr="00645FC7" w:rsidRDefault="000D3EAD" w:rsidP="00645FC7">
      <w:pPr>
        <w:spacing w:line="600" w:lineRule="exact"/>
        <w:ind w:firstLineChars="200" w:firstLine="560"/>
        <w:rPr>
          <w:rFonts w:ascii="华文仿宋" w:eastAsia="华文仿宋" w:hAnsi="华文仿宋"/>
          <w:color w:val="000000"/>
          <w:sz w:val="28"/>
          <w:szCs w:val="28"/>
          <w:highlight w:val="yellow"/>
        </w:rPr>
      </w:pPr>
      <w:r>
        <w:rPr>
          <w:rFonts w:ascii="华文仿宋" w:eastAsia="华文仿宋" w:hAnsi="华文仿宋"/>
          <w:noProof/>
          <w:sz w:val="28"/>
          <w:szCs w:val="28"/>
        </w:rPr>
        <w:drawing>
          <wp:anchor distT="0" distB="0" distL="114300" distR="114300" simplePos="0" relativeHeight="251659264" behindDoc="0" locked="0" layoutInCell="1" allowOverlap="1">
            <wp:simplePos x="0" y="0"/>
            <wp:positionH relativeFrom="column">
              <wp:posOffset>467487</wp:posOffset>
            </wp:positionH>
            <wp:positionV relativeFrom="paragraph">
              <wp:posOffset>223266</wp:posOffset>
            </wp:positionV>
            <wp:extent cx="4569587" cy="2745359"/>
            <wp:effectExtent l="12192" t="6096" r="6096" b="0"/>
            <wp:wrapNone/>
            <wp:docPr id="8"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D4AC2" w:rsidRPr="00645FC7" w:rsidRDefault="00ED4AC2" w:rsidP="00645FC7">
      <w:pPr>
        <w:spacing w:line="600" w:lineRule="exact"/>
        <w:ind w:firstLineChars="200" w:firstLine="560"/>
        <w:rPr>
          <w:rFonts w:ascii="华文仿宋" w:eastAsia="华文仿宋" w:hAnsi="华文仿宋"/>
          <w:color w:val="000000"/>
          <w:sz w:val="28"/>
          <w:szCs w:val="28"/>
          <w:highlight w:val="yellow"/>
        </w:rPr>
      </w:pPr>
    </w:p>
    <w:p w:rsidR="00ED4AC2" w:rsidRPr="00645FC7" w:rsidRDefault="00ED4AC2" w:rsidP="00645FC7">
      <w:pPr>
        <w:spacing w:line="600" w:lineRule="exact"/>
        <w:ind w:firstLineChars="200" w:firstLine="560"/>
        <w:rPr>
          <w:rFonts w:ascii="华文仿宋" w:eastAsia="华文仿宋" w:hAnsi="华文仿宋"/>
          <w:color w:val="000000"/>
          <w:sz w:val="28"/>
          <w:szCs w:val="28"/>
          <w:highlight w:val="yellow"/>
        </w:rPr>
      </w:pPr>
    </w:p>
    <w:p w:rsidR="00ED4AC2" w:rsidRPr="00645FC7" w:rsidRDefault="00ED4AC2" w:rsidP="00645FC7">
      <w:pPr>
        <w:spacing w:line="600" w:lineRule="exact"/>
        <w:ind w:firstLineChars="200" w:firstLine="560"/>
        <w:rPr>
          <w:rFonts w:ascii="华文仿宋" w:eastAsia="华文仿宋" w:hAnsi="华文仿宋"/>
          <w:color w:val="000000"/>
          <w:sz w:val="28"/>
          <w:szCs w:val="28"/>
          <w:highlight w:val="yellow"/>
        </w:rPr>
      </w:pPr>
    </w:p>
    <w:p w:rsidR="00ED4AC2" w:rsidRPr="00645FC7" w:rsidRDefault="00ED4AC2" w:rsidP="00645FC7">
      <w:pPr>
        <w:spacing w:line="600" w:lineRule="exact"/>
        <w:ind w:firstLineChars="200" w:firstLine="560"/>
        <w:rPr>
          <w:rFonts w:ascii="华文仿宋" w:eastAsia="华文仿宋" w:hAnsi="华文仿宋"/>
          <w:color w:val="000000"/>
          <w:sz w:val="28"/>
          <w:szCs w:val="28"/>
          <w:highlight w:val="yellow"/>
        </w:rPr>
      </w:pPr>
    </w:p>
    <w:p w:rsidR="00ED4AC2" w:rsidRPr="00645FC7" w:rsidRDefault="00ED4AC2" w:rsidP="00ED4AC2">
      <w:pPr>
        <w:spacing w:line="600" w:lineRule="exact"/>
        <w:rPr>
          <w:rFonts w:ascii="华文仿宋" w:eastAsia="华文仿宋" w:hAnsi="华文仿宋"/>
          <w:color w:val="000000"/>
          <w:sz w:val="28"/>
          <w:szCs w:val="28"/>
          <w:highlight w:val="yellow"/>
        </w:rPr>
      </w:pPr>
    </w:p>
    <w:p w:rsidR="00ED4AC2" w:rsidRPr="00645FC7" w:rsidRDefault="00ED4AC2" w:rsidP="00ED4AC2">
      <w:pPr>
        <w:spacing w:line="600" w:lineRule="exact"/>
        <w:rPr>
          <w:rFonts w:ascii="华文仿宋" w:eastAsia="华文仿宋" w:hAnsi="华文仿宋"/>
          <w:color w:val="000000"/>
          <w:sz w:val="28"/>
          <w:szCs w:val="28"/>
          <w:highlight w:val="yellow"/>
        </w:rPr>
      </w:pP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（三）一般公共预算财政拨款支出决算具体情况</w:t>
      </w:r>
    </w:p>
    <w:p w:rsidR="00BA7F7E" w:rsidRPr="00645FC7" w:rsidRDefault="00BA7F7E"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cs="仿宋_GB2312" w:hint="eastAsia"/>
          <w:b w:val="0"/>
          <w:sz w:val="28"/>
          <w:szCs w:val="28"/>
        </w:rPr>
        <w:t>1.公共安全支出（类）检察（款）行政运行（项）:</w:t>
      </w:r>
      <w:r w:rsidRPr="00645FC7">
        <w:rPr>
          <w:rFonts w:ascii="华文仿宋" w:eastAsia="华文仿宋" w:hAnsi="华文仿宋" w:cs="仿宋_GB2312" w:hint="eastAsia"/>
          <w:sz w:val="28"/>
          <w:szCs w:val="28"/>
        </w:rPr>
        <w:t>2017年决算数为1197.79万元，完成预算</w:t>
      </w:r>
      <w:r w:rsidR="00C547E6" w:rsidRPr="00645FC7">
        <w:rPr>
          <w:rFonts w:ascii="华文仿宋" w:eastAsia="华文仿宋" w:hAnsi="华文仿宋" w:cs="仿宋_GB2312" w:hint="eastAsia"/>
          <w:sz w:val="28"/>
          <w:szCs w:val="28"/>
        </w:rPr>
        <w:t>94.53</w:t>
      </w:r>
      <w:r w:rsidRPr="00645FC7">
        <w:rPr>
          <w:rFonts w:ascii="华文仿宋" w:eastAsia="华文仿宋" w:hAnsi="华文仿宋" w:cs="仿宋_GB2312" w:hint="eastAsia"/>
          <w:sz w:val="28"/>
          <w:szCs w:val="28"/>
        </w:rPr>
        <w:t>%。</w:t>
      </w:r>
      <w:r w:rsidR="006E0D41" w:rsidRPr="00645FC7">
        <w:rPr>
          <w:rFonts w:ascii="华文仿宋" w:eastAsia="华文仿宋" w:hAnsi="华文仿宋" w:cs="仿宋_GB2312" w:hint="eastAsia"/>
          <w:sz w:val="28"/>
          <w:szCs w:val="28"/>
        </w:rPr>
        <w:t>决算数小于预算数的主要原因是法检两院绩效考核奖金结余。</w:t>
      </w:r>
    </w:p>
    <w:p w:rsidR="00BA7F7E" w:rsidRPr="00645FC7" w:rsidRDefault="00BA7F7E"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hint="eastAsia"/>
          <w:b w:val="0"/>
          <w:sz w:val="28"/>
          <w:szCs w:val="28"/>
        </w:rPr>
        <w:t>2.</w:t>
      </w:r>
      <w:r w:rsidRPr="00645FC7">
        <w:rPr>
          <w:rStyle w:val="a6"/>
          <w:rFonts w:ascii="华文仿宋" w:eastAsia="华文仿宋" w:hAnsi="华文仿宋" w:cs="仿宋_GB2312" w:hint="eastAsia"/>
          <w:b w:val="0"/>
          <w:sz w:val="28"/>
          <w:szCs w:val="28"/>
        </w:rPr>
        <w:t xml:space="preserve"> 公共安全支出（类）检察（款）一般行政管理事务（项）：</w:t>
      </w:r>
      <w:r w:rsidRPr="00645FC7">
        <w:rPr>
          <w:rFonts w:ascii="华文仿宋" w:eastAsia="华文仿宋" w:hAnsi="华文仿宋" w:cs="仿宋_GB2312" w:hint="eastAsia"/>
          <w:sz w:val="28"/>
          <w:szCs w:val="28"/>
        </w:rPr>
        <w:t>2017年决算数为1047.31万元，完成预算</w:t>
      </w:r>
      <w:r w:rsidR="006E0D41" w:rsidRPr="00645FC7">
        <w:rPr>
          <w:rFonts w:ascii="华文仿宋" w:eastAsia="华文仿宋" w:hAnsi="华文仿宋" w:cs="仿宋_GB2312" w:hint="eastAsia"/>
          <w:sz w:val="28"/>
          <w:szCs w:val="28"/>
        </w:rPr>
        <w:t>97.9</w:t>
      </w:r>
      <w:r w:rsidRPr="00645FC7">
        <w:rPr>
          <w:rFonts w:ascii="华文仿宋" w:eastAsia="华文仿宋" w:hAnsi="华文仿宋" w:cs="仿宋_GB2312" w:hint="eastAsia"/>
          <w:sz w:val="28"/>
          <w:szCs w:val="28"/>
        </w:rPr>
        <w:t>%，决算数小于预算数的主要原因是办案项目资金有结余。</w:t>
      </w:r>
    </w:p>
    <w:p w:rsidR="00BA7F7E" w:rsidRPr="00645FC7" w:rsidRDefault="00BA7F7E"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hint="eastAsia"/>
          <w:b w:val="0"/>
          <w:sz w:val="28"/>
          <w:szCs w:val="28"/>
        </w:rPr>
        <w:t>3．公共安全支出（类）检察（款）查办和预防职务犯罪（项）：</w:t>
      </w:r>
      <w:r w:rsidRPr="00645FC7">
        <w:rPr>
          <w:rFonts w:ascii="华文仿宋" w:eastAsia="华文仿宋" w:hAnsi="华文仿宋" w:cs="仿宋_GB2312" w:hint="eastAsia"/>
          <w:sz w:val="28"/>
          <w:szCs w:val="28"/>
        </w:rPr>
        <w:t>2017年决算数为20万元，完成预算100%</w:t>
      </w:r>
      <w:r w:rsidR="006E0D41" w:rsidRPr="00645FC7">
        <w:rPr>
          <w:rFonts w:ascii="华文仿宋" w:eastAsia="华文仿宋" w:hAnsi="华文仿宋" w:cs="仿宋_GB2312" w:hint="eastAsia"/>
          <w:sz w:val="28"/>
          <w:szCs w:val="28"/>
        </w:rPr>
        <w:t>。</w:t>
      </w:r>
    </w:p>
    <w:p w:rsidR="00BA7F7E" w:rsidRPr="00645FC7" w:rsidRDefault="00BA7F7E"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hint="eastAsia"/>
          <w:b w:val="0"/>
          <w:sz w:val="28"/>
          <w:szCs w:val="28"/>
        </w:rPr>
        <w:t>4．公共安全支出（类）检察（款）其他检察支出（项）：</w:t>
      </w:r>
      <w:r w:rsidRPr="00645FC7">
        <w:rPr>
          <w:rFonts w:ascii="华文仿宋" w:eastAsia="华文仿宋" w:hAnsi="华文仿宋" w:cs="仿宋_GB2312" w:hint="eastAsia"/>
          <w:sz w:val="28"/>
          <w:szCs w:val="28"/>
        </w:rPr>
        <w:t>2017年决算数为160万元，完成预算</w:t>
      </w:r>
      <w:r w:rsidR="006E0D41" w:rsidRPr="00645FC7">
        <w:rPr>
          <w:rFonts w:ascii="华文仿宋" w:eastAsia="华文仿宋" w:hAnsi="华文仿宋" w:cs="仿宋_GB2312" w:hint="eastAsia"/>
          <w:sz w:val="28"/>
          <w:szCs w:val="28"/>
        </w:rPr>
        <w:t>98.16</w:t>
      </w:r>
      <w:r w:rsidRPr="00645FC7">
        <w:rPr>
          <w:rFonts w:ascii="华文仿宋" w:eastAsia="华文仿宋" w:hAnsi="华文仿宋" w:cs="仿宋_GB2312" w:hint="eastAsia"/>
          <w:sz w:val="28"/>
          <w:szCs w:val="28"/>
        </w:rPr>
        <w:t>%</w:t>
      </w:r>
      <w:r w:rsidR="006E0D41" w:rsidRPr="00645FC7">
        <w:rPr>
          <w:rFonts w:ascii="华文仿宋" w:eastAsia="华文仿宋" w:hAnsi="华文仿宋" w:cs="仿宋_GB2312" w:hint="eastAsia"/>
          <w:sz w:val="28"/>
          <w:szCs w:val="28"/>
        </w:rPr>
        <w:t>.决算数小于预算数的主要原因是感动四川检察人员表彰奖金结余。</w:t>
      </w:r>
    </w:p>
    <w:p w:rsidR="00BA7F7E" w:rsidRPr="00645FC7" w:rsidRDefault="003901CC"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cs="仿宋_GB2312" w:hint="eastAsia"/>
          <w:b w:val="0"/>
          <w:sz w:val="28"/>
          <w:szCs w:val="28"/>
        </w:rPr>
        <w:t>5</w:t>
      </w:r>
      <w:r w:rsidR="00BA7F7E" w:rsidRPr="00645FC7">
        <w:rPr>
          <w:rStyle w:val="a6"/>
          <w:rFonts w:ascii="华文仿宋" w:eastAsia="华文仿宋" w:hAnsi="华文仿宋" w:cs="仿宋_GB2312" w:hint="eastAsia"/>
          <w:b w:val="0"/>
          <w:sz w:val="28"/>
          <w:szCs w:val="28"/>
        </w:rPr>
        <w:t>.教育支出（类）进修及培训（款）培训支出（项）:</w:t>
      </w:r>
      <w:r w:rsidR="00BA7F7E" w:rsidRPr="00645FC7">
        <w:rPr>
          <w:rFonts w:ascii="华文仿宋" w:eastAsia="华文仿宋" w:hAnsi="华文仿宋" w:cs="仿宋_GB2312" w:hint="eastAsia"/>
          <w:sz w:val="28"/>
          <w:szCs w:val="28"/>
        </w:rPr>
        <w:t xml:space="preserve">2017年决算数为8.26万元，完成预算100%， </w:t>
      </w:r>
    </w:p>
    <w:p w:rsidR="00BA7F7E" w:rsidRPr="00645FC7" w:rsidRDefault="003901CC"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cs="仿宋_GB2312" w:hint="eastAsia"/>
          <w:b w:val="0"/>
          <w:sz w:val="28"/>
          <w:szCs w:val="28"/>
        </w:rPr>
        <w:t>6</w:t>
      </w:r>
      <w:r w:rsidR="00BA7F7E" w:rsidRPr="00645FC7">
        <w:rPr>
          <w:rStyle w:val="a6"/>
          <w:rFonts w:ascii="华文仿宋" w:eastAsia="华文仿宋" w:hAnsi="华文仿宋" w:cs="仿宋_GB2312" w:hint="eastAsia"/>
          <w:b w:val="0"/>
          <w:sz w:val="28"/>
          <w:szCs w:val="28"/>
        </w:rPr>
        <w:t>.社会保障和就业支出（类）行政事业单位离退休（款）机归口</w:t>
      </w:r>
      <w:r w:rsidR="00BA7F7E" w:rsidRPr="00645FC7">
        <w:rPr>
          <w:rStyle w:val="a6"/>
          <w:rFonts w:ascii="华文仿宋" w:eastAsia="华文仿宋" w:hAnsi="华文仿宋" w:cs="仿宋_GB2312" w:hint="eastAsia"/>
          <w:b w:val="0"/>
          <w:sz w:val="28"/>
          <w:szCs w:val="28"/>
        </w:rPr>
        <w:lastRenderedPageBreak/>
        <w:t>管理的行政单位离退休（项）:</w:t>
      </w:r>
      <w:r w:rsidR="00BA7F7E" w:rsidRPr="00645FC7">
        <w:rPr>
          <w:rFonts w:ascii="华文仿宋" w:eastAsia="华文仿宋" w:hAnsi="华文仿宋" w:cs="仿宋_GB2312" w:hint="eastAsia"/>
          <w:sz w:val="28"/>
          <w:szCs w:val="28"/>
        </w:rPr>
        <w:t>2017年决算数为123.08元，完成预算</w:t>
      </w:r>
      <w:r w:rsidR="006E0D41" w:rsidRPr="00645FC7">
        <w:rPr>
          <w:rFonts w:ascii="华文仿宋" w:eastAsia="华文仿宋" w:hAnsi="华文仿宋" w:cs="仿宋_GB2312" w:hint="eastAsia"/>
          <w:sz w:val="28"/>
          <w:szCs w:val="28"/>
        </w:rPr>
        <w:t>100</w:t>
      </w:r>
      <w:r w:rsidR="00BA7F7E" w:rsidRPr="00645FC7">
        <w:rPr>
          <w:rFonts w:ascii="华文仿宋" w:eastAsia="华文仿宋" w:hAnsi="华文仿宋" w:cs="仿宋_GB2312" w:hint="eastAsia"/>
          <w:sz w:val="28"/>
          <w:szCs w:val="28"/>
        </w:rPr>
        <w:t>%</w:t>
      </w:r>
      <w:r w:rsidR="006E0D41" w:rsidRPr="00645FC7">
        <w:rPr>
          <w:rFonts w:ascii="华文仿宋" w:eastAsia="华文仿宋" w:hAnsi="华文仿宋" w:cs="仿宋_GB2312" w:hint="eastAsia"/>
          <w:sz w:val="28"/>
          <w:szCs w:val="28"/>
        </w:rPr>
        <w:t>.</w:t>
      </w:r>
    </w:p>
    <w:p w:rsidR="006E0D41" w:rsidRPr="00645FC7" w:rsidRDefault="003901CC"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cs="仿宋_GB2312" w:hint="eastAsia"/>
          <w:b w:val="0"/>
          <w:sz w:val="28"/>
          <w:szCs w:val="28"/>
        </w:rPr>
        <w:t>7</w:t>
      </w:r>
      <w:r w:rsidR="00BA7F7E" w:rsidRPr="00645FC7">
        <w:rPr>
          <w:rStyle w:val="a6"/>
          <w:rFonts w:ascii="华文仿宋" w:eastAsia="华文仿宋" w:hAnsi="华文仿宋" w:cs="仿宋_GB2312" w:hint="eastAsia"/>
          <w:b w:val="0"/>
          <w:sz w:val="28"/>
          <w:szCs w:val="28"/>
        </w:rPr>
        <w:t>.社会保障和就业支出（类）行政事业单位离退休（款）机关事业单位基本养老保险缴费支出（项）:</w:t>
      </w:r>
      <w:r w:rsidR="00BA7F7E" w:rsidRPr="00645FC7">
        <w:rPr>
          <w:rFonts w:ascii="华文仿宋" w:eastAsia="华文仿宋" w:hAnsi="华文仿宋" w:cs="仿宋_GB2312" w:hint="eastAsia"/>
          <w:sz w:val="28"/>
          <w:szCs w:val="28"/>
        </w:rPr>
        <w:t>2017年决算数为117.21元，完成预算</w:t>
      </w:r>
      <w:r w:rsidR="006E0D41" w:rsidRPr="00645FC7">
        <w:rPr>
          <w:rFonts w:ascii="华文仿宋" w:eastAsia="华文仿宋" w:hAnsi="华文仿宋" w:cs="仿宋_GB2312" w:hint="eastAsia"/>
          <w:sz w:val="28"/>
          <w:szCs w:val="28"/>
        </w:rPr>
        <w:t>100</w:t>
      </w:r>
      <w:r w:rsidR="00BA7F7E" w:rsidRPr="00645FC7">
        <w:rPr>
          <w:rFonts w:ascii="华文仿宋" w:eastAsia="华文仿宋" w:hAnsi="华文仿宋" w:cs="仿宋_GB2312" w:hint="eastAsia"/>
          <w:sz w:val="28"/>
          <w:szCs w:val="28"/>
        </w:rPr>
        <w:t>%</w:t>
      </w:r>
      <w:r w:rsidR="006E0D41" w:rsidRPr="00645FC7">
        <w:rPr>
          <w:rFonts w:ascii="华文仿宋" w:eastAsia="华文仿宋" w:hAnsi="华文仿宋" w:cs="仿宋_GB2312" w:hint="eastAsia"/>
          <w:sz w:val="28"/>
          <w:szCs w:val="28"/>
        </w:rPr>
        <w:t>.</w:t>
      </w:r>
    </w:p>
    <w:p w:rsidR="00BA7F7E" w:rsidRPr="00645FC7" w:rsidRDefault="006E0D41"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hint="eastAsia"/>
          <w:b w:val="0"/>
          <w:sz w:val="28"/>
          <w:szCs w:val="28"/>
        </w:rPr>
        <w:t xml:space="preserve"> </w:t>
      </w:r>
      <w:r w:rsidR="003901CC" w:rsidRPr="00645FC7">
        <w:rPr>
          <w:rStyle w:val="a6"/>
          <w:rFonts w:ascii="华文仿宋" w:eastAsia="华文仿宋" w:hAnsi="华文仿宋" w:hint="eastAsia"/>
          <w:b w:val="0"/>
          <w:sz w:val="28"/>
          <w:szCs w:val="28"/>
        </w:rPr>
        <w:t>8</w:t>
      </w:r>
      <w:r w:rsidR="00BA7F7E" w:rsidRPr="00645FC7">
        <w:rPr>
          <w:rStyle w:val="a6"/>
          <w:rFonts w:ascii="华文仿宋" w:eastAsia="华文仿宋" w:hAnsi="华文仿宋" w:hint="eastAsia"/>
          <w:b w:val="0"/>
          <w:sz w:val="28"/>
          <w:szCs w:val="28"/>
        </w:rPr>
        <w:t>.</w:t>
      </w:r>
      <w:r w:rsidR="00BA7F7E" w:rsidRPr="00645FC7">
        <w:rPr>
          <w:rStyle w:val="a6"/>
          <w:rFonts w:ascii="华文仿宋" w:eastAsia="华文仿宋" w:hAnsi="华文仿宋" w:cs="仿宋_GB2312" w:hint="eastAsia"/>
          <w:b w:val="0"/>
          <w:sz w:val="28"/>
          <w:szCs w:val="28"/>
        </w:rPr>
        <w:t xml:space="preserve"> 社会保障和就业支出（类）抚恤（款）死亡抚恤（项）:</w:t>
      </w:r>
      <w:r w:rsidR="00BA7F7E" w:rsidRPr="00645FC7">
        <w:rPr>
          <w:rFonts w:ascii="华文仿宋" w:eastAsia="华文仿宋" w:hAnsi="华文仿宋" w:cs="仿宋_GB2312" w:hint="eastAsia"/>
          <w:sz w:val="28"/>
          <w:szCs w:val="28"/>
        </w:rPr>
        <w:t xml:space="preserve"> 2017年决算数为1.14万元，完成预算100%。</w:t>
      </w:r>
    </w:p>
    <w:p w:rsidR="00BA7F7E" w:rsidRPr="00645FC7" w:rsidRDefault="003901CC" w:rsidP="00645FC7">
      <w:pPr>
        <w:spacing w:line="580" w:lineRule="exact"/>
        <w:ind w:firstLineChars="200" w:firstLine="560"/>
        <w:rPr>
          <w:rFonts w:ascii="华文仿宋" w:eastAsia="华文仿宋" w:hAnsi="华文仿宋" w:cs="仿宋_GB2312"/>
          <w:sz w:val="28"/>
          <w:szCs w:val="28"/>
        </w:rPr>
      </w:pPr>
      <w:r w:rsidRPr="00645FC7">
        <w:rPr>
          <w:rStyle w:val="a6"/>
          <w:rFonts w:ascii="华文仿宋" w:eastAsia="华文仿宋" w:hAnsi="华文仿宋" w:cs="仿宋_GB2312" w:hint="eastAsia"/>
          <w:b w:val="0"/>
          <w:sz w:val="28"/>
          <w:szCs w:val="28"/>
        </w:rPr>
        <w:t>9</w:t>
      </w:r>
      <w:r w:rsidR="00BA7F7E" w:rsidRPr="00645FC7">
        <w:rPr>
          <w:rStyle w:val="a6"/>
          <w:rFonts w:ascii="华文仿宋" w:eastAsia="华文仿宋" w:hAnsi="华文仿宋" w:cs="仿宋_GB2312" w:hint="eastAsia"/>
          <w:b w:val="0"/>
          <w:sz w:val="28"/>
          <w:szCs w:val="28"/>
        </w:rPr>
        <w:t>.医疗卫生与计划生育支出（类）行政事业单位医疗（款）行政单位医疗（项）:</w:t>
      </w:r>
      <w:r w:rsidR="00BA7F7E" w:rsidRPr="00645FC7">
        <w:rPr>
          <w:rFonts w:ascii="华文仿宋" w:eastAsia="华文仿宋" w:hAnsi="华文仿宋" w:cs="仿宋_GB2312" w:hint="eastAsia"/>
          <w:sz w:val="28"/>
          <w:szCs w:val="28"/>
        </w:rPr>
        <w:t>2017年决算数为</w:t>
      </w:r>
      <w:r w:rsidRPr="00645FC7">
        <w:rPr>
          <w:rFonts w:ascii="华文仿宋" w:eastAsia="华文仿宋" w:hAnsi="华文仿宋" w:cs="仿宋_GB2312" w:hint="eastAsia"/>
          <w:sz w:val="28"/>
          <w:szCs w:val="28"/>
        </w:rPr>
        <w:t>34.32</w:t>
      </w:r>
      <w:r w:rsidR="00BA7F7E" w:rsidRPr="00645FC7">
        <w:rPr>
          <w:rFonts w:ascii="华文仿宋" w:eastAsia="华文仿宋" w:hAnsi="华文仿宋" w:cs="仿宋_GB2312" w:hint="eastAsia"/>
          <w:sz w:val="28"/>
          <w:szCs w:val="28"/>
        </w:rPr>
        <w:t>万元，完成预算100%。</w:t>
      </w:r>
    </w:p>
    <w:p w:rsidR="00F1361C" w:rsidRPr="00645FC7" w:rsidRDefault="00F1361C"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六、一般公共预算财政拨款基本支出决算情况</w:t>
      </w:r>
      <w:r w:rsidR="00D51276" w:rsidRPr="00645FC7">
        <w:rPr>
          <w:rFonts w:ascii="华文仿宋" w:eastAsia="华文仿宋" w:hAnsi="华文仿宋" w:hint="eastAsia"/>
          <w:color w:val="000000"/>
          <w:sz w:val="28"/>
          <w:szCs w:val="28"/>
        </w:rPr>
        <w:t>说明</w:t>
      </w:r>
    </w:p>
    <w:p w:rsidR="00FE29FA" w:rsidRPr="00645FC7" w:rsidRDefault="00FE29FA"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2017年一般公共预算财政拨款基本支出1481.79万元，其中：</w:t>
      </w:r>
    </w:p>
    <w:p w:rsidR="00FE29FA" w:rsidRPr="00645FC7" w:rsidRDefault="00FE29FA"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人员经费1067.14万元，主要包括：基本工资、津贴补贴、奖金、绩效工资、机关事业单位基本养老保险缴费、职业年金缴费、其他社会保障缴费、其他工资福利支出、退休费、抚恤金、生活补助、医疗费、奖励金、住房公积金、其他对个人和家庭的补助支出。</w:t>
      </w:r>
    </w:p>
    <w:p w:rsidR="00FE29FA" w:rsidRPr="00645FC7" w:rsidRDefault="00FE29FA"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公用经费414.65万元，主要包括：办公费、印刷费、水费、电费、邮电费、物业管理费、差旅费、维修（护）费、培训费、公务接待费、劳务费、工会经费、福利费、其他商品和服务支出。</w:t>
      </w: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七、“三公”经费</w:t>
      </w:r>
      <w:r w:rsidR="00FF1E02" w:rsidRPr="00645FC7">
        <w:rPr>
          <w:rFonts w:ascii="华文仿宋" w:eastAsia="华文仿宋" w:hAnsi="华文仿宋" w:hint="eastAsia"/>
          <w:color w:val="000000"/>
          <w:sz w:val="28"/>
          <w:szCs w:val="28"/>
        </w:rPr>
        <w:t>财政拨款</w:t>
      </w:r>
      <w:r w:rsidRPr="00645FC7">
        <w:rPr>
          <w:rFonts w:ascii="华文仿宋" w:eastAsia="华文仿宋" w:hAnsi="华文仿宋" w:hint="eastAsia"/>
          <w:color w:val="000000"/>
          <w:sz w:val="28"/>
          <w:szCs w:val="28"/>
        </w:rPr>
        <w:t>支出决算情况</w:t>
      </w:r>
      <w:r w:rsidR="00D51276" w:rsidRPr="00645FC7">
        <w:rPr>
          <w:rFonts w:ascii="华文仿宋" w:eastAsia="华文仿宋" w:hAnsi="华文仿宋" w:hint="eastAsia"/>
          <w:color w:val="000000"/>
          <w:sz w:val="28"/>
          <w:szCs w:val="28"/>
        </w:rPr>
        <w:t>说明</w:t>
      </w:r>
    </w:p>
    <w:p w:rsidR="00A307CD" w:rsidRPr="00645FC7" w:rsidRDefault="00A307CD"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（一）“三公”经费财政拨款支出决算总体情况说明</w:t>
      </w:r>
    </w:p>
    <w:p w:rsidR="00A307CD" w:rsidRPr="00645FC7" w:rsidRDefault="00D00095"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w:t>
      </w:r>
      <w:r w:rsidR="00F602DF" w:rsidRPr="00645FC7">
        <w:rPr>
          <w:rFonts w:ascii="华文仿宋" w:eastAsia="华文仿宋" w:hAnsi="华文仿宋" w:hint="eastAsia"/>
          <w:color w:val="000000"/>
          <w:sz w:val="28"/>
          <w:szCs w:val="28"/>
        </w:rPr>
        <w:t>年度“三</w:t>
      </w:r>
      <w:r w:rsidR="00A307CD" w:rsidRPr="00645FC7">
        <w:rPr>
          <w:rFonts w:ascii="华文仿宋" w:eastAsia="华文仿宋" w:hAnsi="华文仿宋" w:hint="eastAsia"/>
          <w:color w:val="000000"/>
          <w:sz w:val="28"/>
          <w:szCs w:val="28"/>
        </w:rPr>
        <w:t>公”经费财政拨款支出决算为</w:t>
      </w:r>
      <w:r w:rsidR="00510812" w:rsidRPr="00645FC7">
        <w:rPr>
          <w:rFonts w:ascii="华文仿宋" w:eastAsia="华文仿宋" w:hAnsi="华文仿宋" w:hint="eastAsia"/>
          <w:color w:val="000000"/>
          <w:sz w:val="28"/>
          <w:szCs w:val="28"/>
        </w:rPr>
        <w:t>74.26</w:t>
      </w:r>
      <w:r w:rsidR="00A307CD" w:rsidRPr="00645FC7">
        <w:rPr>
          <w:rFonts w:ascii="华文仿宋" w:eastAsia="华文仿宋" w:hAnsi="华文仿宋" w:hint="eastAsia"/>
          <w:color w:val="000000"/>
          <w:sz w:val="28"/>
          <w:szCs w:val="28"/>
        </w:rPr>
        <w:t>万元，完成预算</w:t>
      </w:r>
      <w:r w:rsidR="00510812" w:rsidRPr="00645FC7">
        <w:rPr>
          <w:rFonts w:ascii="华文仿宋" w:eastAsia="华文仿宋" w:hAnsi="华文仿宋" w:hint="eastAsia"/>
          <w:color w:val="000000"/>
          <w:sz w:val="28"/>
          <w:szCs w:val="28"/>
        </w:rPr>
        <w:t>9</w:t>
      </w:r>
      <w:r w:rsidR="00706384" w:rsidRPr="00645FC7">
        <w:rPr>
          <w:rFonts w:ascii="华文仿宋" w:eastAsia="华文仿宋" w:hAnsi="华文仿宋" w:hint="eastAsia"/>
          <w:color w:val="000000"/>
          <w:sz w:val="28"/>
          <w:szCs w:val="28"/>
        </w:rPr>
        <w:t>1.68</w:t>
      </w:r>
      <w:r w:rsidR="00A307CD" w:rsidRPr="00645FC7">
        <w:rPr>
          <w:rFonts w:ascii="华文仿宋" w:eastAsia="华文仿宋" w:hAnsi="华文仿宋" w:hint="eastAsia"/>
          <w:color w:val="000000"/>
          <w:sz w:val="28"/>
          <w:szCs w:val="28"/>
        </w:rPr>
        <w:t>%</w:t>
      </w:r>
      <w:r w:rsidR="00F602DF" w:rsidRPr="00645FC7">
        <w:rPr>
          <w:rFonts w:ascii="华文仿宋" w:eastAsia="华文仿宋" w:hAnsi="华文仿宋" w:hint="eastAsia"/>
          <w:color w:val="000000"/>
          <w:sz w:val="28"/>
          <w:szCs w:val="28"/>
        </w:rPr>
        <w:t>，</w:t>
      </w:r>
      <w:r w:rsidR="00A307CD" w:rsidRPr="00645FC7">
        <w:rPr>
          <w:rFonts w:ascii="华文仿宋" w:eastAsia="华文仿宋" w:hAnsi="华文仿宋" w:hint="eastAsia"/>
          <w:color w:val="000000"/>
          <w:sz w:val="28"/>
          <w:szCs w:val="28"/>
        </w:rPr>
        <w:t>决算数</w:t>
      </w:r>
      <w:r w:rsidR="00C533CC" w:rsidRPr="00645FC7">
        <w:rPr>
          <w:rFonts w:ascii="华文仿宋" w:eastAsia="华文仿宋" w:hAnsi="华文仿宋" w:hint="eastAsia"/>
          <w:color w:val="000000"/>
          <w:sz w:val="28"/>
          <w:szCs w:val="28"/>
        </w:rPr>
        <w:t>小于</w:t>
      </w:r>
      <w:r w:rsidR="00A307CD" w:rsidRPr="00645FC7">
        <w:rPr>
          <w:rFonts w:ascii="华文仿宋" w:eastAsia="华文仿宋" w:hAnsi="华文仿宋" w:hint="eastAsia"/>
          <w:color w:val="000000"/>
          <w:sz w:val="28"/>
          <w:szCs w:val="28"/>
        </w:rPr>
        <w:t>预算数的主要原因是</w:t>
      </w:r>
      <w:r w:rsidR="00510812" w:rsidRPr="00645FC7">
        <w:rPr>
          <w:rFonts w:ascii="华文仿宋" w:eastAsia="华文仿宋" w:hAnsi="华文仿宋" w:cs="仿宋_GB2312" w:hint="eastAsia"/>
          <w:sz w:val="28"/>
          <w:szCs w:val="28"/>
        </w:rPr>
        <w:t>严格按照有关规定厉行节约</w:t>
      </w:r>
      <w:r w:rsidR="00A307CD" w:rsidRPr="00645FC7">
        <w:rPr>
          <w:rFonts w:ascii="华文仿宋" w:eastAsia="华文仿宋" w:hAnsi="华文仿宋" w:hint="eastAsia"/>
          <w:color w:val="000000"/>
          <w:sz w:val="28"/>
          <w:szCs w:val="28"/>
        </w:rPr>
        <w:t>。</w:t>
      </w:r>
    </w:p>
    <w:p w:rsidR="00A307CD" w:rsidRPr="00645FC7" w:rsidRDefault="00A307CD" w:rsidP="00A307CD">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lastRenderedPageBreak/>
        <w:t>（二）“三公”经费财政拨款支出决算具体情况说明</w:t>
      </w:r>
    </w:p>
    <w:p w:rsidR="00C533CC" w:rsidRPr="00645FC7" w:rsidRDefault="00F602DF" w:rsidP="00A307CD">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w:t>
      </w:r>
      <w:r w:rsidR="00C533CC" w:rsidRPr="00645FC7">
        <w:rPr>
          <w:rFonts w:ascii="华文仿宋" w:eastAsia="华文仿宋" w:hAnsi="华文仿宋" w:hint="eastAsia"/>
          <w:color w:val="000000"/>
          <w:sz w:val="28"/>
          <w:szCs w:val="28"/>
        </w:rPr>
        <w:t>年度“三公”经费财政拨款支出决算中，</w:t>
      </w:r>
      <w:r w:rsidR="00510812" w:rsidRPr="00645FC7">
        <w:rPr>
          <w:rFonts w:ascii="华文仿宋" w:eastAsia="华文仿宋" w:hAnsi="华文仿宋" w:hint="eastAsia"/>
          <w:color w:val="000000"/>
          <w:sz w:val="28"/>
          <w:szCs w:val="28"/>
        </w:rPr>
        <w:t>无</w:t>
      </w:r>
      <w:r w:rsidR="00C533CC" w:rsidRPr="00645FC7">
        <w:rPr>
          <w:rFonts w:ascii="华文仿宋" w:eastAsia="华文仿宋" w:hAnsi="华文仿宋" w:hint="eastAsia"/>
          <w:color w:val="000000"/>
          <w:sz w:val="28"/>
          <w:szCs w:val="28"/>
        </w:rPr>
        <w:t>因公出国（境）费支出；公务用车购置及运行维护费支出决算</w:t>
      </w:r>
      <w:r w:rsidR="00510812" w:rsidRPr="00645FC7">
        <w:rPr>
          <w:rFonts w:ascii="华文仿宋" w:eastAsia="华文仿宋" w:hAnsi="华文仿宋" w:hint="eastAsia"/>
          <w:color w:val="000000"/>
          <w:sz w:val="28"/>
          <w:szCs w:val="28"/>
        </w:rPr>
        <w:t>68.39</w:t>
      </w:r>
      <w:r w:rsidR="00C533CC" w:rsidRPr="00645FC7">
        <w:rPr>
          <w:rFonts w:ascii="华文仿宋" w:eastAsia="华文仿宋" w:hAnsi="华文仿宋" w:hint="eastAsia"/>
          <w:color w:val="000000"/>
          <w:sz w:val="28"/>
          <w:szCs w:val="28"/>
        </w:rPr>
        <w:t>万元，占</w:t>
      </w:r>
      <w:r w:rsidR="00510812" w:rsidRPr="00645FC7">
        <w:rPr>
          <w:rFonts w:ascii="华文仿宋" w:eastAsia="华文仿宋" w:hAnsi="华文仿宋" w:hint="eastAsia"/>
          <w:color w:val="000000"/>
          <w:sz w:val="28"/>
          <w:szCs w:val="28"/>
        </w:rPr>
        <w:t>92</w:t>
      </w:r>
      <w:r w:rsidR="00C533CC" w:rsidRPr="00645FC7">
        <w:rPr>
          <w:rFonts w:ascii="华文仿宋" w:eastAsia="华文仿宋" w:hAnsi="华文仿宋" w:hint="eastAsia"/>
          <w:color w:val="000000"/>
          <w:sz w:val="28"/>
          <w:szCs w:val="28"/>
        </w:rPr>
        <w:t>%；公务接待费支出决算</w:t>
      </w:r>
      <w:r w:rsidR="00510812" w:rsidRPr="00645FC7">
        <w:rPr>
          <w:rFonts w:ascii="华文仿宋" w:eastAsia="华文仿宋" w:hAnsi="华文仿宋" w:hint="eastAsia"/>
          <w:color w:val="000000"/>
          <w:sz w:val="28"/>
          <w:szCs w:val="28"/>
        </w:rPr>
        <w:t>5.87</w:t>
      </w:r>
      <w:r w:rsidR="00C533CC" w:rsidRPr="00645FC7">
        <w:rPr>
          <w:rFonts w:ascii="华文仿宋" w:eastAsia="华文仿宋" w:hAnsi="华文仿宋" w:hint="eastAsia"/>
          <w:color w:val="000000"/>
          <w:sz w:val="28"/>
          <w:szCs w:val="28"/>
        </w:rPr>
        <w:t>万元，占</w:t>
      </w:r>
      <w:r w:rsidR="00510812" w:rsidRPr="00645FC7">
        <w:rPr>
          <w:rFonts w:ascii="华文仿宋" w:eastAsia="华文仿宋" w:hAnsi="华文仿宋" w:hint="eastAsia"/>
          <w:color w:val="000000"/>
          <w:sz w:val="28"/>
          <w:szCs w:val="28"/>
        </w:rPr>
        <w:t>8</w:t>
      </w:r>
      <w:r w:rsidR="00C533CC" w:rsidRPr="00645FC7">
        <w:rPr>
          <w:rFonts w:ascii="华文仿宋" w:eastAsia="华文仿宋" w:hAnsi="华文仿宋" w:hint="eastAsia"/>
          <w:color w:val="000000"/>
          <w:sz w:val="28"/>
          <w:szCs w:val="28"/>
        </w:rPr>
        <w:t>%。具体情况如下：</w:t>
      </w:r>
    </w:p>
    <w:p w:rsidR="00510812" w:rsidRPr="00645FC7" w:rsidRDefault="000D3EAD" w:rsidP="00A307CD">
      <w:pPr>
        <w:spacing w:line="600" w:lineRule="exact"/>
        <w:ind w:firstLine="640"/>
        <w:rPr>
          <w:rFonts w:ascii="华文仿宋" w:eastAsia="华文仿宋" w:hAnsi="华文仿宋"/>
          <w:color w:val="000000"/>
          <w:sz w:val="28"/>
          <w:szCs w:val="28"/>
        </w:rPr>
      </w:pPr>
      <w:r>
        <w:rPr>
          <w:rFonts w:ascii="华文仿宋" w:eastAsia="华文仿宋" w:hAnsi="华文仿宋"/>
          <w:noProof/>
          <w:sz w:val="28"/>
          <w:szCs w:val="28"/>
        </w:rPr>
        <w:drawing>
          <wp:anchor distT="0" distB="0" distL="114300" distR="114300" simplePos="0" relativeHeight="251660288" behindDoc="0" locked="0" layoutInCell="1" allowOverlap="1">
            <wp:simplePos x="0" y="0"/>
            <wp:positionH relativeFrom="column">
              <wp:posOffset>467487</wp:posOffset>
            </wp:positionH>
            <wp:positionV relativeFrom="paragraph">
              <wp:posOffset>253746</wp:posOffset>
            </wp:positionV>
            <wp:extent cx="4569587" cy="2745359"/>
            <wp:effectExtent l="12192" t="6096" r="6096" b="0"/>
            <wp:wrapNone/>
            <wp:docPr id="9"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10812" w:rsidRPr="00645FC7" w:rsidRDefault="00510812" w:rsidP="00A307CD">
      <w:pPr>
        <w:spacing w:line="600" w:lineRule="exact"/>
        <w:ind w:firstLine="640"/>
        <w:rPr>
          <w:rFonts w:ascii="华文仿宋" w:eastAsia="华文仿宋" w:hAnsi="华文仿宋"/>
          <w:color w:val="000000"/>
          <w:sz w:val="28"/>
          <w:szCs w:val="28"/>
        </w:rPr>
      </w:pPr>
    </w:p>
    <w:p w:rsidR="00510812" w:rsidRPr="00645FC7" w:rsidRDefault="00510812" w:rsidP="00A307CD">
      <w:pPr>
        <w:spacing w:line="600" w:lineRule="exact"/>
        <w:ind w:firstLine="640"/>
        <w:rPr>
          <w:rFonts w:ascii="华文仿宋" w:eastAsia="华文仿宋" w:hAnsi="华文仿宋"/>
          <w:color w:val="000000"/>
          <w:sz w:val="28"/>
          <w:szCs w:val="28"/>
        </w:rPr>
      </w:pPr>
    </w:p>
    <w:p w:rsidR="00510812" w:rsidRPr="00645FC7" w:rsidRDefault="00510812" w:rsidP="00A307CD">
      <w:pPr>
        <w:spacing w:line="600" w:lineRule="exact"/>
        <w:ind w:firstLine="640"/>
        <w:rPr>
          <w:rFonts w:ascii="华文仿宋" w:eastAsia="华文仿宋" w:hAnsi="华文仿宋"/>
          <w:color w:val="000000"/>
          <w:sz w:val="28"/>
          <w:szCs w:val="28"/>
        </w:rPr>
      </w:pPr>
    </w:p>
    <w:p w:rsidR="00510812" w:rsidRPr="00645FC7" w:rsidRDefault="00510812" w:rsidP="00B61CAC">
      <w:pPr>
        <w:spacing w:line="600" w:lineRule="exact"/>
        <w:rPr>
          <w:rFonts w:ascii="华文仿宋" w:eastAsia="华文仿宋" w:hAnsi="华文仿宋"/>
          <w:color w:val="000000"/>
          <w:sz w:val="28"/>
          <w:szCs w:val="28"/>
        </w:rPr>
      </w:pPr>
    </w:p>
    <w:p w:rsidR="00946945" w:rsidRPr="00645FC7" w:rsidRDefault="00510812"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1</w:t>
      </w:r>
      <w:r w:rsidR="00C533CC" w:rsidRPr="00645FC7">
        <w:rPr>
          <w:rFonts w:ascii="华文仿宋" w:eastAsia="华文仿宋" w:hAnsi="华文仿宋" w:hint="eastAsia"/>
          <w:color w:val="000000"/>
          <w:sz w:val="28"/>
          <w:szCs w:val="28"/>
        </w:rPr>
        <w:t>.公务用车购置及运行维护费</w:t>
      </w:r>
      <w:r w:rsidR="00AD5620" w:rsidRPr="00645FC7">
        <w:rPr>
          <w:rFonts w:ascii="华文仿宋" w:eastAsia="华文仿宋" w:hAnsi="华文仿宋" w:hint="eastAsia"/>
          <w:color w:val="000000"/>
          <w:sz w:val="28"/>
          <w:szCs w:val="28"/>
        </w:rPr>
        <w:t>支出</w:t>
      </w:r>
      <w:r w:rsidRPr="00645FC7">
        <w:rPr>
          <w:rFonts w:ascii="华文仿宋" w:eastAsia="华文仿宋" w:hAnsi="华文仿宋" w:hint="eastAsia"/>
          <w:color w:val="000000"/>
          <w:sz w:val="28"/>
          <w:szCs w:val="28"/>
        </w:rPr>
        <w:t>68.39</w:t>
      </w:r>
      <w:r w:rsidR="00C533CC" w:rsidRPr="00645FC7">
        <w:rPr>
          <w:rFonts w:ascii="华文仿宋" w:eastAsia="华文仿宋" w:hAnsi="华文仿宋" w:hint="eastAsia"/>
          <w:color w:val="000000"/>
          <w:sz w:val="28"/>
          <w:szCs w:val="28"/>
        </w:rPr>
        <w:t>万元</w:t>
      </w:r>
      <w:r w:rsidR="00946945" w:rsidRPr="00645FC7">
        <w:rPr>
          <w:rFonts w:ascii="华文仿宋" w:eastAsia="华文仿宋" w:hAnsi="华文仿宋" w:hint="eastAsia"/>
          <w:color w:val="000000"/>
          <w:sz w:val="28"/>
          <w:szCs w:val="28"/>
        </w:rPr>
        <w:t>。</w:t>
      </w:r>
      <w:r w:rsidR="000B5A48" w:rsidRPr="00645FC7">
        <w:rPr>
          <w:rFonts w:ascii="华文仿宋" w:eastAsia="华文仿宋" w:hAnsi="华文仿宋" w:hint="eastAsia"/>
          <w:color w:val="000000"/>
          <w:sz w:val="28"/>
          <w:szCs w:val="28"/>
        </w:rPr>
        <w:t>其中：</w:t>
      </w:r>
    </w:p>
    <w:p w:rsidR="000B5A48" w:rsidRPr="00645FC7" w:rsidRDefault="000B5A48"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全年</w:t>
      </w:r>
      <w:r w:rsidR="00510812" w:rsidRPr="00645FC7">
        <w:rPr>
          <w:rFonts w:ascii="华文仿宋" w:eastAsia="华文仿宋" w:hAnsi="华文仿宋" w:hint="eastAsia"/>
          <w:color w:val="000000"/>
          <w:sz w:val="28"/>
          <w:szCs w:val="28"/>
        </w:rPr>
        <w:t>无</w:t>
      </w:r>
      <w:r w:rsidRPr="00645FC7">
        <w:rPr>
          <w:rFonts w:ascii="华文仿宋" w:eastAsia="华文仿宋" w:hAnsi="华文仿宋" w:hint="eastAsia"/>
          <w:color w:val="000000"/>
          <w:sz w:val="28"/>
          <w:szCs w:val="28"/>
        </w:rPr>
        <w:t>更新购置公务用车。</w:t>
      </w:r>
    </w:p>
    <w:p w:rsidR="00510812" w:rsidRPr="00645FC7" w:rsidRDefault="000B5A48"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hint="eastAsia"/>
          <w:color w:val="000000"/>
          <w:sz w:val="28"/>
          <w:szCs w:val="28"/>
        </w:rPr>
        <w:t>公务用车运行维护费支出</w:t>
      </w:r>
      <w:r w:rsidR="00510812" w:rsidRPr="00645FC7">
        <w:rPr>
          <w:rFonts w:ascii="华文仿宋" w:eastAsia="华文仿宋" w:hAnsi="华文仿宋" w:hint="eastAsia"/>
          <w:color w:val="000000"/>
          <w:sz w:val="28"/>
          <w:szCs w:val="28"/>
        </w:rPr>
        <w:t>68.39</w:t>
      </w:r>
      <w:r w:rsidRPr="00645FC7">
        <w:rPr>
          <w:rFonts w:ascii="华文仿宋" w:eastAsia="华文仿宋" w:hAnsi="华文仿宋" w:hint="eastAsia"/>
          <w:color w:val="000000"/>
          <w:sz w:val="28"/>
          <w:szCs w:val="28"/>
        </w:rPr>
        <w:t>万元。主要</w:t>
      </w:r>
      <w:r w:rsidR="00C533CC" w:rsidRPr="00645FC7">
        <w:rPr>
          <w:rFonts w:ascii="华文仿宋" w:eastAsia="华文仿宋" w:hAnsi="华文仿宋" w:hint="eastAsia"/>
          <w:color w:val="000000"/>
          <w:sz w:val="28"/>
          <w:szCs w:val="28"/>
        </w:rPr>
        <w:t>用于</w:t>
      </w:r>
      <w:r w:rsidR="00510812" w:rsidRPr="00645FC7">
        <w:rPr>
          <w:rFonts w:ascii="华文仿宋" w:eastAsia="华文仿宋" w:hAnsi="华文仿宋" w:cs="仿宋_GB2312" w:hint="eastAsia"/>
          <w:sz w:val="28"/>
          <w:szCs w:val="28"/>
        </w:rPr>
        <w:t>办案所需的执法执勤用车燃料费、维修费、过路过桥费、保险费等支出。</w:t>
      </w:r>
    </w:p>
    <w:p w:rsidR="00F417B1" w:rsidRDefault="00F417B1" w:rsidP="00377FB8">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公务用车购置及运行维护费支出决算比2016年减少</w:t>
      </w:r>
      <w:r w:rsidR="00510812" w:rsidRPr="00645FC7">
        <w:rPr>
          <w:rFonts w:ascii="华文仿宋" w:eastAsia="华文仿宋" w:hAnsi="华文仿宋" w:hint="eastAsia"/>
          <w:color w:val="000000"/>
          <w:sz w:val="28"/>
          <w:szCs w:val="28"/>
        </w:rPr>
        <w:t>11.67</w:t>
      </w:r>
      <w:r w:rsidRPr="00645FC7">
        <w:rPr>
          <w:rFonts w:ascii="华文仿宋" w:eastAsia="华文仿宋" w:hAnsi="华文仿宋" w:hint="eastAsia"/>
          <w:color w:val="000000"/>
          <w:sz w:val="28"/>
          <w:szCs w:val="28"/>
        </w:rPr>
        <w:t>万元，下降</w:t>
      </w:r>
      <w:r w:rsidR="00510812" w:rsidRPr="00645FC7">
        <w:rPr>
          <w:rFonts w:ascii="华文仿宋" w:eastAsia="华文仿宋" w:hAnsi="华文仿宋" w:hint="eastAsia"/>
          <w:color w:val="000000"/>
          <w:sz w:val="28"/>
          <w:szCs w:val="28"/>
        </w:rPr>
        <w:t>14.58</w:t>
      </w:r>
      <w:r w:rsidRPr="00645FC7">
        <w:rPr>
          <w:rFonts w:ascii="华文仿宋" w:eastAsia="华文仿宋" w:hAnsi="华文仿宋" w:hint="eastAsia"/>
          <w:color w:val="000000"/>
          <w:sz w:val="28"/>
          <w:szCs w:val="28"/>
        </w:rPr>
        <w:t>%。主要原因是</w:t>
      </w:r>
      <w:r w:rsidR="00377FB8" w:rsidRPr="00645FC7">
        <w:rPr>
          <w:rFonts w:ascii="华文仿宋" w:eastAsia="华文仿宋" w:hAnsi="华文仿宋" w:cs="仿宋_GB2312" w:hint="eastAsia"/>
          <w:sz w:val="28"/>
          <w:szCs w:val="28"/>
        </w:rPr>
        <w:t>严格按照有关规定厉行节约</w:t>
      </w:r>
      <w:r w:rsidRPr="00645FC7">
        <w:rPr>
          <w:rFonts w:ascii="华文仿宋" w:eastAsia="华文仿宋" w:hAnsi="华文仿宋" w:hint="eastAsia"/>
          <w:color w:val="000000"/>
          <w:sz w:val="28"/>
          <w:szCs w:val="28"/>
        </w:rPr>
        <w:t>。</w:t>
      </w:r>
    </w:p>
    <w:p w:rsidR="004114F9" w:rsidRPr="004114F9" w:rsidRDefault="004114F9" w:rsidP="00377FB8">
      <w:pPr>
        <w:spacing w:line="600" w:lineRule="exact"/>
        <w:ind w:firstLine="640"/>
        <w:rPr>
          <w:rFonts w:ascii="华文仿宋" w:eastAsia="华文仿宋" w:hAnsi="华文仿宋"/>
          <w:color w:val="000000"/>
          <w:sz w:val="28"/>
          <w:szCs w:val="28"/>
        </w:rPr>
      </w:pPr>
      <w:r>
        <w:rPr>
          <w:rFonts w:ascii="华文仿宋" w:eastAsia="华文仿宋" w:hAnsi="华文仿宋"/>
          <w:color w:val="000000"/>
          <w:sz w:val="28"/>
          <w:szCs w:val="28"/>
        </w:rPr>
        <w:t>截止</w:t>
      </w:r>
      <w:r>
        <w:rPr>
          <w:rFonts w:ascii="华文仿宋" w:eastAsia="华文仿宋" w:hAnsi="华文仿宋" w:hint="eastAsia"/>
          <w:color w:val="000000"/>
          <w:sz w:val="28"/>
          <w:szCs w:val="28"/>
        </w:rPr>
        <w:t>2017年12月底，我院共有公务有车9辆，其中轿车7辆，越野车2辆。9辆公务用车中8辆为执法执勤用车，1辆为特种专业技术用车。</w:t>
      </w:r>
    </w:p>
    <w:p w:rsidR="00F1361C" w:rsidRPr="00645FC7" w:rsidRDefault="00510812"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w:t>
      </w:r>
      <w:r w:rsidR="00A307CD" w:rsidRPr="00645FC7">
        <w:rPr>
          <w:rFonts w:ascii="华文仿宋" w:eastAsia="华文仿宋" w:hAnsi="华文仿宋" w:hint="eastAsia"/>
          <w:color w:val="000000"/>
          <w:sz w:val="28"/>
          <w:szCs w:val="28"/>
        </w:rPr>
        <w:t>.</w:t>
      </w:r>
      <w:r w:rsidR="00F1361C" w:rsidRPr="00645FC7">
        <w:rPr>
          <w:rFonts w:ascii="华文仿宋" w:eastAsia="华文仿宋" w:hAnsi="华文仿宋" w:hint="eastAsia"/>
          <w:color w:val="000000"/>
          <w:sz w:val="28"/>
          <w:szCs w:val="28"/>
        </w:rPr>
        <w:t>公务接待费</w:t>
      </w:r>
      <w:r w:rsidR="00946945" w:rsidRPr="00645FC7">
        <w:rPr>
          <w:rFonts w:ascii="华文仿宋" w:eastAsia="华文仿宋" w:hAnsi="华文仿宋" w:hint="eastAsia"/>
          <w:color w:val="000000"/>
          <w:sz w:val="28"/>
          <w:szCs w:val="28"/>
        </w:rPr>
        <w:t>支出</w:t>
      </w:r>
      <w:r w:rsidR="00377FB8" w:rsidRPr="00645FC7">
        <w:rPr>
          <w:rFonts w:ascii="华文仿宋" w:eastAsia="华文仿宋" w:hAnsi="华文仿宋" w:hint="eastAsia"/>
          <w:color w:val="000000"/>
          <w:sz w:val="28"/>
          <w:szCs w:val="28"/>
        </w:rPr>
        <w:t>5.87</w:t>
      </w:r>
      <w:r w:rsidR="00F1361C" w:rsidRPr="00645FC7">
        <w:rPr>
          <w:rFonts w:ascii="华文仿宋" w:eastAsia="华文仿宋" w:hAnsi="华文仿宋" w:hint="eastAsia"/>
          <w:color w:val="000000"/>
          <w:sz w:val="28"/>
          <w:szCs w:val="28"/>
        </w:rPr>
        <w:t>万元</w:t>
      </w:r>
      <w:r w:rsidR="000B5A48" w:rsidRPr="00645FC7">
        <w:rPr>
          <w:rFonts w:ascii="华文仿宋" w:eastAsia="华文仿宋" w:hAnsi="华文仿宋" w:hint="eastAsia"/>
          <w:color w:val="000000"/>
          <w:sz w:val="28"/>
          <w:szCs w:val="28"/>
        </w:rPr>
        <w:t>。</w:t>
      </w:r>
      <w:r w:rsidR="00F1361C" w:rsidRPr="00645FC7">
        <w:rPr>
          <w:rFonts w:ascii="华文仿宋" w:eastAsia="华文仿宋" w:hAnsi="华文仿宋" w:hint="eastAsia"/>
          <w:color w:val="000000"/>
          <w:sz w:val="28"/>
          <w:szCs w:val="28"/>
        </w:rPr>
        <w:t>主要用于</w:t>
      </w:r>
      <w:r w:rsidR="00377FB8" w:rsidRPr="00645FC7">
        <w:rPr>
          <w:rFonts w:ascii="华文仿宋" w:eastAsia="华文仿宋" w:hAnsi="华文仿宋" w:cs="仿宋_GB2312" w:hint="eastAsia"/>
          <w:sz w:val="28"/>
          <w:szCs w:val="28"/>
        </w:rPr>
        <w:t>执行公务、开展业务活动开支的用餐费。</w:t>
      </w:r>
      <w:r w:rsidR="00B10517" w:rsidRPr="00645FC7">
        <w:rPr>
          <w:rFonts w:ascii="华文仿宋" w:eastAsia="华文仿宋" w:hAnsi="华文仿宋" w:hint="eastAsia"/>
          <w:color w:val="000000"/>
          <w:sz w:val="28"/>
          <w:szCs w:val="28"/>
        </w:rPr>
        <w:t>国内公务接待</w:t>
      </w:r>
      <w:r w:rsidR="00377FB8" w:rsidRPr="00645FC7">
        <w:rPr>
          <w:rFonts w:ascii="华文仿宋" w:eastAsia="华文仿宋" w:hAnsi="华文仿宋" w:hint="eastAsia"/>
          <w:color w:val="000000"/>
          <w:sz w:val="28"/>
          <w:szCs w:val="28"/>
        </w:rPr>
        <w:t>24</w:t>
      </w:r>
      <w:r w:rsidR="00B10517" w:rsidRPr="00645FC7">
        <w:rPr>
          <w:rFonts w:ascii="华文仿宋" w:eastAsia="华文仿宋" w:hAnsi="华文仿宋" w:hint="eastAsia"/>
          <w:color w:val="000000"/>
          <w:sz w:val="28"/>
          <w:szCs w:val="28"/>
        </w:rPr>
        <w:t>批次，</w:t>
      </w:r>
      <w:r w:rsidR="00377FB8" w:rsidRPr="00645FC7">
        <w:rPr>
          <w:rFonts w:ascii="华文仿宋" w:eastAsia="华文仿宋" w:hAnsi="华文仿宋" w:hint="eastAsia"/>
          <w:color w:val="000000"/>
          <w:sz w:val="28"/>
          <w:szCs w:val="28"/>
        </w:rPr>
        <w:t>533</w:t>
      </w:r>
      <w:r w:rsidR="00B10517" w:rsidRPr="00645FC7">
        <w:rPr>
          <w:rFonts w:ascii="华文仿宋" w:eastAsia="华文仿宋" w:hAnsi="华文仿宋" w:hint="eastAsia"/>
          <w:color w:val="000000"/>
          <w:sz w:val="28"/>
          <w:szCs w:val="28"/>
        </w:rPr>
        <w:t>人</w:t>
      </w:r>
      <w:r w:rsidR="00F417B1" w:rsidRPr="00645FC7">
        <w:rPr>
          <w:rFonts w:ascii="华文仿宋" w:eastAsia="华文仿宋" w:hAnsi="华文仿宋" w:hint="eastAsia"/>
          <w:color w:val="000000"/>
          <w:sz w:val="28"/>
          <w:szCs w:val="28"/>
        </w:rPr>
        <w:t>次（不包括陪同人员）</w:t>
      </w:r>
      <w:r w:rsidR="00B10517" w:rsidRPr="00645FC7">
        <w:rPr>
          <w:rFonts w:ascii="华文仿宋" w:eastAsia="华文仿宋" w:hAnsi="华文仿宋" w:hint="eastAsia"/>
          <w:color w:val="000000"/>
          <w:sz w:val="28"/>
          <w:szCs w:val="28"/>
        </w:rPr>
        <w:t>，</w:t>
      </w:r>
      <w:r w:rsidR="00C03E31" w:rsidRPr="00645FC7">
        <w:rPr>
          <w:rFonts w:ascii="华文仿宋" w:eastAsia="华文仿宋" w:hAnsi="华文仿宋" w:hint="eastAsia"/>
          <w:color w:val="000000"/>
          <w:sz w:val="28"/>
          <w:szCs w:val="28"/>
        </w:rPr>
        <w:t>具体</w:t>
      </w:r>
      <w:r w:rsidR="00B10517" w:rsidRPr="00645FC7">
        <w:rPr>
          <w:rFonts w:ascii="华文仿宋" w:eastAsia="华文仿宋" w:hAnsi="华文仿宋" w:hint="eastAsia"/>
          <w:color w:val="000000"/>
          <w:sz w:val="28"/>
          <w:szCs w:val="28"/>
        </w:rPr>
        <w:t>内容包括：</w:t>
      </w:r>
      <w:r w:rsidR="00377FB8" w:rsidRPr="00645FC7">
        <w:rPr>
          <w:rFonts w:ascii="华文仿宋" w:eastAsia="华文仿宋" w:hAnsi="华文仿宋" w:hint="eastAsia"/>
          <w:color w:val="000000"/>
          <w:sz w:val="28"/>
          <w:szCs w:val="28"/>
        </w:rPr>
        <w:t>上级检察机关调研指导工作、其他机关学习考察。</w:t>
      </w:r>
    </w:p>
    <w:p w:rsidR="00F417B1" w:rsidRPr="00645FC7" w:rsidRDefault="00F417B1" w:rsidP="00D51276">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公务接待费支出决算比2016年减少</w:t>
      </w:r>
      <w:r w:rsidR="00377FB8" w:rsidRPr="00645FC7">
        <w:rPr>
          <w:rFonts w:ascii="华文仿宋" w:eastAsia="华文仿宋" w:hAnsi="华文仿宋" w:hint="eastAsia"/>
          <w:color w:val="000000"/>
          <w:sz w:val="28"/>
          <w:szCs w:val="28"/>
        </w:rPr>
        <w:t>0.6</w:t>
      </w:r>
      <w:r w:rsidRPr="00645FC7">
        <w:rPr>
          <w:rFonts w:ascii="华文仿宋" w:eastAsia="华文仿宋" w:hAnsi="华文仿宋" w:hint="eastAsia"/>
          <w:color w:val="000000"/>
          <w:sz w:val="28"/>
          <w:szCs w:val="28"/>
        </w:rPr>
        <w:t>万元，下降</w:t>
      </w:r>
      <w:r w:rsidR="00377FB8" w:rsidRPr="00645FC7">
        <w:rPr>
          <w:rFonts w:ascii="华文仿宋" w:eastAsia="华文仿宋" w:hAnsi="华文仿宋" w:hint="eastAsia"/>
          <w:color w:val="000000"/>
          <w:sz w:val="28"/>
          <w:szCs w:val="28"/>
        </w:rPr>
        <w:t>9.27</w:t>
      </w:r>
      <w:r w:rsidRPr="00645FC7">
        <w:rPr>
          <w:rFonts w:ascii="华文仿宋" w:eastAsia="华文仿宋" w:hAnsi="华文仿宋" w:hint="eastAsia"/>
          <w:color w:val="000000"/>
          <w:sz w:val="28"/>
          <w:szCs w:val="28"/>
        </w:rPr>
        <w:t>%。主要原因是</w:t>
      </w:r>
      <w:r w:rsidR="00377FB8" w:rsidRPr="00645FC7">
        <w:rPr>
          <w:rFonts w:ascii="华文仿宋" w:eastAsia="华文仿宋" w:hAnsi="华文仿宋" w:cs="仿宋_GB2312" w:hint="eastAsia"/>
          <w:sz w:val="28"/>
          <w:szCs w:val="28"/>
        </w:rPr>
        <w:t>严格按照有关规定厉行节约</w:t>
      </w:r>
      <w:r w:rsidRPr="00645FC7">
        <w:rPr>
          <w:rFonts w:ascii="华文仿宋" w:eastAsia="华文仿宋" w:hAnsi="华文仿宋" w:hint="eastAsia"/>
          <w:color w:val="000000"/>
          <w:sz w:val="28"/>
          <w:szCs w:val="28"/>
        </w:rPr>
        <w:t>。</w:t>
      </w:r>
    </w:p>
    <w:p w:rsidR="00F1361C" w:rsidRPr="00645FC7" w:rsidRDefault="00F1361C"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lastRenderedPageBreak/>
        <w:t>八、政府性基金预算支出决算情况</w:t>
      </w:r>
      <w:r w:rsidR="00D51276" w:rsidRPr="00645FC7">
        <w:rPr>
          <w:rFonts w:ascii="华文仿宋" w:eastAsia="华文仿宋" w:hAnsi="华文仿宋" w:hint="eastAsia"/>
          <w:color w:val="000000"/>
          <w:sz w:val="28"/>
          <w:szCs w:val="28"/>
        </w:rPr>
        <w:t>说明</w:t>
      </w:r>
    </w:p>
    <w:p w:rsidR="00F1361C" w:rsidRPr="00645FC7" w:rsidRDefault="00D51276"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2017年度</w:t>
      </w:r>
      <w:r w:rsidR="00706384" w:rsidRPr="00645FC7">
        <w:rPr>
          <w:rFonts w:ascii="华文仿宋" w:eastAsia="华文仿宋" w:hAnsi="华文仿宋" w:hint="eastAsia"/>
          <w:color w:val="000000"/>
          <w:sz w:val="28"/>
          <w:szCs w:val="28"/>
        </w:rPr>
        <w:t>我院无</w:t>
      </w:r>
      <w:r w:rsidR="00F1361C" w:rsidRPr="00645FC7">
        <w:rPr>
          <w:rFonts w:ascii="华文仿宋" w:eastAsia="华文仿宋" w:hAnsi="华文仿宋" w:hint="eastAsia"/>
          <w:color w:val="000000"/>
          <w:sz w:val="28"/>
          <w:szCs w:val="28"/>
        </w:rPr>
        <w:t>政府性基金预算</w:t>
      </w:r>
      <w:r w:rsidR="00BC5460" w:rsidRPr="00645FC7">
        <w:rPr>
          <w:rFonts w:ascii="华文仿宋" w:eastAsia="华文仿宋" w:hAnsi="华文仿宋" w:hint="eastAsia"/>
          <w:color w:val="000000"/>
          <w:sz w:val="28"/>
          <w:szCs w:val="28"/>
        </w:rPr>
        <w:t>拨款</w:t>
      </w:r>
      <w:r w:rsidR="00F1361C" w:rsidRPr="00645FC7">
        <w:rPr>
          <w:rFonts w:ascii="华文仿宋" w:eastAsia="华文仿宋" w:hAnsi="华文仿宋" w:hint="eastAsia"/>
          <w:color w:val="000000"/>
          <w:sz w:val="28"/>
          <w:szCs w:val="28"/>
        </w:rPr>
        <w:t>支出。</w:t>
      </w:r>
    </w:p>
    <w:p w:rsidR="00D51276" w:rsidRPr="00645FC7" w:rsidRDefault="00D51276"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九、国有资本经营预算支出决算情况说明</w:t>
      </w:r>
    </w:p>
    <w:p w:rsidR="00BC5460" w:rsidRPr="00645FC7" w:rsidRDefault="00BC5460" w:rsidP="00F1361C">
      <w:pPr>
        <w:spacing w:line="600" w:lineRule="exact"/>
        <w:ind w:firstLine="64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2017年度</w:t>
      </w:r>
      <w:r w:rsidR="00706384" w:rsidRPr="00645FC7">
        <w:rPr>
          <w:rFonts w:ascii="华文仿宋" w:eastAsia="华文仿宋" w:hAnsi="华文仿宋" w:hint="eastAsia"/>
          <w:color w:val="000000"/>
          <w:sz w:val="28"/>
          <w:szCs w:val="28"/>
        </w:rPr>
        <w:t>我院无</w:t>
      </w:r>
      <w:r w:rsidRPr="00645FC7">
        <w:rPr>
          <w:rFonts w:ascii="华文仿宋" w:eastAsia="华文仿宋" w:hAnsi="华文仿宋" w:hint="eastAsia"/>
          <w:color w:val="000000"/>
          <w:sz w:val="28"/>
          <w:szCs w:val="28"/>
        </w:rPr>
        <w:t>国有资本经营预算拨款支出。</w:t>
      </w:r>
    </w:p>
    <w:p w:rsidR="00F1361C" w:rsidRPr="00645FC7" w:rsidRDefault="00BC5460"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十</w:t>
      </w:r>
      <w:r w:rsidR="00F1361C" w:rsidRPr="00645FC7">
        <w:rPr>
          <w:rFonts w:ascii="华文仿宋" w:eastAsia="华文仿宋" w:hAnsi="华文仿宋" w:hint="eastAsia"/>
          <w:color w:val="000000"/>
          <w:sz w:val="28"/>
          <w:szCs w:val="28"/>
        </w:rPr>
        <w:t>、其他重要事项的情况说明</w:t>
      </w:r>
    </w:p>
    <w:p w:rsidR="00F1361C" w:rsidRPr="00645FC7" w:rsidRDefault="00F1361C"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（一）机关运行经费支出情况</w:t>
      </w:r>
    </w:p>
    <w:p w:rsidR="00C35554" w:rsidRPr="00645FC7" w:rsidRDefault="00BC5460"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w:t>
      </w:r>
      <w:r w:rsidR="00F1361C" w:rsidRPr="00645FC7">
        <w:rPr>
          <w:rFonts w:ascii="华文仿宋" w:eastAsia="华文仿宋" w:hAnsi="华文仿宋" w:hint="eastAsia"/>
          <w:color w:val="000000"/>
          <w:sz w:val="28"/>
          <w:szCs w:val="28"/>
        </w:rPr>
        <w:t>年度，</w:t>
      </w:r>
      <w:r w:rsidR="00706384" w:rsidRPr="00645FC7">
        <w:rPr>
          <w:rFonts w:ascii="华文仿宋" w:eastAsia="华文仿宋" w:hAnsi="华文仿宋" w:hint="eastAsia"/>
          <w:color w:val="000000"/>
          <w:sz w:val="28"/>
          <w:szCs w:val="28"/>
        </w:rPr>
        <w:t>江油市人民检察院</w:t>
      </w:r>
      <w:r w:rsidR="00F1361C" w:rsidRPr="00645FC7">
        <w:rPr>
          <w:rFonts w:ascii="华文仿宋" w:eastAsia="华文仿宋" w:hAnsi="华文仿宋" w:hint="eastAsia"/>
          <w:color w:val="000000"/>
          <w:sz w:val="28"/>
          <w:szCs w:val="28"/>
        </w:rPr>
        <w:t>机关运行经费支出</w:t>
      </w:r>
      <w:r w:rsidR="00706384" w:rsidRPr="00645FC7">
        <w:rPr>
          <w:rFonts w:ascii="华文仿宋" w:eastAsia="华文仿宋" w:hAnsi="华文仿宋" w:hint="eastAsia"/>
          <w:color w:val="000000"/>
          <w:sz w:val="28"/>
          <w:szCs w:val="28"/>
        </w:rPr>
        <w:t>414.65</w:t>
      </w:r>
      <w:r w:rsidR="00F1361C" w:rsidRPr="00645FC7">
        <w:rPr>
          <w:rFonts w:ascii="华文仿宋" w:eastAsia="华文仿宋" w:hAnsi="华文仿宋" w:hint="eastAsia"/>
          <w:color w:val="000000"/>
          <w:sz w:val="28"/>
          <w:szCs w:val="28"/>
        </w:rPr>
        <w:t>万元，比</w:t>
      </w:r>
      <w:r w:rsidRPr="00645FC7">
        <w:rPr>
          <w:rFonts w:ascii="华文仿宋" w:eastAsia="华文仿宋" w:hAnsi="华文仿宋" w:hint="eastAsia"/>
          <w:color w:val="000000"/>
          <w:sz w:val="28"/>
          <w:szCs w:val="28"/>
        </w:rPr>
        <w:t>2016</w:t>
      </w:r>
      <w:r w:rsidR="00F1361C" w:rsidRPr="00645FC7">
        <w:rPr>
          <w:rFonts w:ascii="华文仿宋" w:eastAsia="华文仿宋" w:hAnsi="华文仿宋" w:hint="eastAsia"/>
          <w:color w:val="000000"/>
          <w:sz w:val="28"/>
          <w:szCs w:val="28"/>
        </w:rPr>
        <w:t>年增加</w:t>
      </w:r>
      <w:r w:rsidR="00706384" w:rsidRPr="00645FC7">
        <w:rPr>
          <w:rFonts w:ascii="华文仿宋" w:eastAsia="华文仿宋" w:hAnsi="华文仿宋" w:hint="eastAsia"/>
          <w:color w:val="000000"/>
          <w:sz w:val="28"/>
          <w:szCs w:val="28"/>
        </w:rPr>
        <w:t>219.33</w:t>
      </w:r>
      <w:r w:rsidR="00F1361C" w:rsidRPr="00645FC7">
        <w:rPr>
          <w:rFonts w:ascii="华文仿宋" w:eastAsia="华文仿宋" w:hAnsi="华文仿宋" w:hint="eastAsia"/>
          <w:color w:val="000000"/>
          <w:sz w:val="28"/>
          <w:szCs w:val="28"/>
        </w:rPr>
        <w:t>万元，增长</w:t>
      </w:r>
      <w:r w:rsidR="00706384" w:rsidRPr="00645FC7">
        <w:rPr>
          <w:rFonts w:ascii="华文仿宋" w:eastAsia="华文仿宋" w:hAnsi="华文仿宋" w:hint="eastAsia"/>
          <w:color w:val="000000"/>
          <w:sz w:val="28"/>
          <w:szCs w:val="28"/>
        </w:rPr>
        <w:t>112</w:t>
      </w:r>
      <w:r w:rsidR="00F1361C" w:rsidRPr="00645FC7">
        <w:rPr>
          <w:rFonts w:ascii="华文仿宋" w:eastAsia="华文仿宋" w:hAnsi="华文仿宋" w:hint="eastAsia"/>
          <w:color w:val="000000"/>
          <w:sz w:val="28"/>
          <w:szCs w:val="28"/>
        </w:rPr>
        <w:t>%</w:t>
      </w:r>
      <w:r w:rsidR="00C35554" w:rsidRPr="00645FC7">
        <w:rPr>
          <w:rFonts w:ascii="华文仿宋" w:eastAsia="华文仿宋" w:hAnsi="华文仿宋" w:hint="eastAsia"/>
          <w:color w:val="000000"/>
          <w:sz w:val="28"/>
          <w:szCs w:val="28"/>
        </w:rPr>
        <w:t>。</w:t>
      </w:r>
    </w:p>
    <w:p w:rsidR="00F1361C" w:rsidRPr="00645FC7" w:rsidRDefault="00F1361C" w:rsidP="00645FC7">
      <w:pPr>
        <w:autoSpaceDE w:val="0"/>
        <w:autoSpaceDN w:val="0"/>
        <w:adjustRightInd w:val="0"/>
        <w:spacing w:line="600" w:lineRule="exact"/>
        <w:ind w:firstLineChars="200" w:firstLine="560"/>
        <w:jc w:val="left"/>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（二）政府采购</w:t>
      </w:r>
      <w:r w:rsidR="00FF1E02" w:rsidRPr="00645FC7">
        <w:rPr>
          <w:rFonts w:ascii="华文仿宋" w:eastAsia="华文仿宋" w:hAnsi="华文仿宋" w:hint="eastAsia"/>
          <w:color w:val="000000"/>
          <w:sz w:val="28"/>
          <w:szCs w:val="28"/>
        </w:rPr>
        <w:t>支出</w:t>
      </w:r>
      <w:r w:rsidRPr="00645FC7">
        <w:rPr>
          <w:rFonts w:ascii="华文仿宋" w:eastAsia="华文仿宋" w:hAnsi="华文仿宋" w:hint="eastAsia"/>
          <w:color w:val="000000"/>
          <w:sz w:val="28"/>
          <w:szCs w:val="28"/>
        </w:rPr>
        <w:t>情况</w:t>
      </w:r>
    </w:p>
    <w:p w:rsidR="00C35554" w:rsidRPr="00645FC7" w:rsidRDefault="00BC5460" w:rsidP="00645FC7">
      <w:pPr>
        <w:spacing w:line="600" w:lineRule="exac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w:t>
      </w:r>
      <w:r w:rsidR="00F1361C" w:rsidRPr="00645FC7">
        <w:rPr>
          <w:rFonts w:ascii="华文仿宋" w:eastAsia="华文仿宋" w:hAnsi="华文仿宋" w:hint="eastAsia"/>
          <w:color w:val="000000"/>
          <w:sz w:val="28"/>
          <w:szCs w:val="28"/>
        </w:rPr>
        <w:t>年度，</w:t>
      </w:r>
      <w:r w:rsidR="00B569E0" w:rsidRPr="00645FC7">
        <w:rPr>
          <w:rFonts w:ascii="华文仿宋" w:eastAsia="华文仿宋" w:hAnsi="华文仿宋" w:hint="eastAsia"/>
          <w:color w:val="000000"/>
          <w:sz w:val="28"/>
          <w:szCs w:val="28"/>
        </w:rPr>
        <w:t>我院无政府采购支出</w:t>
      </w:r>
      <w:r w:rsidR="00191536" w:rsidRPr="00645FC7">
        <w:rPr>
          <w:rFonts w:ascii="华文仿宋" w:eastAsia="华文仿宋" w:hAnsi="华文仿宋" w:hint="eastAsia"/>
          <w:color w:val="000000"/>
          <w:sz w:val="28"/>
          <w:szCs w:val="28"/>
        </w:rPr>
        <w:t>。</w:t>
      </w:r>
    </w:p>
    <w:p w:rsidR="00F1361C" w:rsidRPr="00645FC7" w:rsidRDefault="00F1361C" w:rsidP="00645FC7">
      <w:pPr>
        <w:autoSpaceDE w:val="0"/>
        <w:autoSpaceDN w:val="0"/>
        <w:adjustRightInd w:val="0"/>
        <w:spacing w:line="600" w:lineRule="exact"/>
        <w:ind w:firstLineChars="200" w:firstLine="560"/>
        <w:jc w:val="left"/>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（三）国有资产占有使用情况</w:t>
      </w:r>
    </w:p>
    <w:p w:rsidR="00C35554" w:rsidRPr="00645FC7" w:rsidRDefault="00F1361C" w:rsidP="00645FC7">
      <w:pPr>
        <w:autoSpaceDE w:val="0"/>
        <w:autoSpaceDN w:val="0"/>
        <w:adjustRightInd w:val="0"/>
        <w:spacing w:line="600" w:lineRule="exact"/>
        <w:ind w:firstLineChars="200" w:firstLine="560"/>
        <w:jc w:val="left"/>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截至</w:t>
      </w:r>
      <w:r w:rsidR="006325F8" w:rsidRPr="00645FC7">
        <w:rPr>
          <w:rFonts w:ascii="华文仿宋" w:eastAsia="华文仿宋" w:hAnsi="华文仿宋" w:hint="eastAsia"/>
          <w:color w:val="000000"/>
          <w:sz w:val="28"/>
          <w:szCs w:val="28"/>
        </w:rPr>
        <w:t>2017</w:t>
      </w:r>
      <w:r w:rsidRPr="00645FC7">
        <w:rPr>
          <w:rFonts w:ascii="华文仿宋" w:eastAsia="华文仿宋" w:hAnsi="华文仿宋" w:hint="eastAsia"/>
          <w:color w:val="000000"/>
          <w:sz w:val="28"/>
          <w:szCs w:val="28"/>
        </w:rPr>
        <w:t>年12月31日，</w:t>
      </w:r>
      <w:r w:rsidR="00BD618D" w:rsidRPr="00645FC7">
        <w:rPr>
          <w:rFonts w:ascii="华文仿宋" w:eastAsia="华文仿宋" w:hAnsi="华文仿宋" w:hint="eastAsia"/>
          <w:color w:val="000000"/>
          <w:sz w:val="28"/>
          <w:szCs w:val="28"/>
        </w:rPr>
        <w:t>江油市人民检察院</w:t>
      </w:r>
      <w:r w:rsidR="00702983">
        <w:rPr>
          <w:rFonts w:ascii="华文仿宋" w:eastAsia="华文仿宋" w:hAnsi="华文仿宋" w:hint="eastAsia"/>
          <w:color w:val="000000"/>
          <w:sz w:val="28"/>
          <w:szCs w:val="28"/>
        </w:rPr>
        <w:t>固定资产701万元，其中房屋和建筑物8处42.51万元，通用设备335台607.02万元，专用设备20台37.3万元，家具、用具、装具及动植物78套14.17万元。</w:t>
      </w:r>
      <w:r w:rsidRPr="00645FC7">
        <w:rPr>
          <w:rFonts w:ascii="华文仿宋" w:eastAsia="华文仿宋" w:hAnsi="华文仿宋" w:hint="eastAsia"/>
          <w:color w:val="000000"/>
          <w:sz w:val="28"/>
          <w:szCs w:val="28"/>
        </w:rPr>
        <w:t>车辆</w:t>
      </w:r>
      <w:r w:rsidR="00BD618D" w:rsidRPr="00645FC7">
        <w:rPr>
          <w:rFonts w:ascii="华文仿宋" w:eastAsia="华文仿宋" w:hAnsi="华文仿宋" w:hint="eastAsia"/>
          <w:color w:val="000000"/>
          <w:sz w:val="28"/>
          <w:szCs w:val="28"/>
        </w:rPr>
        <w:t>9</w:t>
      </w:r>
      <w:r w:rsidR="00786E4A" w:rsidRPr="00645FC7">
        <w:rPr>
          <w:rFonts w:ascii="华文仿宋" w:eastAsia="华文仿宋" w:hAnsi="华文仿宋" w:hint="eastAsia"/>
          <w:color w:val="000000"/>
          <w:sz w:val="28"/>
          <w:szCs w:val="28"/>
        </w:rPr>
        <w:t>辆，其中：一般执法执勤用车</w:t>
      </w:r>
      <w:r w:rsidR="00BD618D" w:rsidRPr="00645FC7">
        <w:rPr>
          <w:rFonts w:ascii="华文仿宋" w:eastAsia="华文仿宋" w:hAnsi="华文仿宋" w:hint="eastAsia"/>
          <w:color w:val="000000"/>
          <w:sz w:val="28"/>
          <w:szCs w:val="28"/>
        </w:rPr>
        <w:t>8</w:t>
      </w:r>
      <w:r w:rsidR="00786E4A" w:rsidRPr="00645FC7">
        <w:rPr>
          <w:rFonts w:ascii="华文仿宋" w:eastAsia="华文仿宋" w:hAnsi="华文仿宋" w:hint="eastAsia"/>
          <w:color w:val="000000"/>
          <w:sz w:val="28"/>
          <w:szCs w:val="28"/>
        </w:rPr>
        <w:t>辆、特种专业技术用车</w:t>
      </w:r>
      <w:r w:rsidR="00BD618D" w:rsidRPr="00645FC7">
        <w:rPr>
          <w:rFonts w:ascii="华文仿宋" w:eastAsia="华文仿宋" w:hAnsi="华文仿宋" w:hint="eastAsia"/>
          <w:color w:val="000000"/>
          <w:sz w:val="28"/>
          <w:szCs w:val="28"/>
        </w:rPr>
        <w:t>1</w:t>
      </w:r>
      <w:r w:rsidR="00786E4A" w:rsidRPr="00645FC7">
        <w:rPr>
          <w:rFonts w:ascii="华文仿宋" w:eastAsia="华文仿宋" w:hAnsi="华文仿宋" w:hint="eastAsia"/>
          <w:color w:val="000000"/>
          <w:sz w:val="28"/>
          <w:szCs w:val="28"/>
        </w:rPr>
        <w:t>辆</w:t>
      </w:r>
      <w:r w:rsidR="00C35554" w:rsidRPr="00645FC7">
        <w:rPr>
          <w:rFonts w:ascii="华文仿宋" w:eastAsia="华文仿宋" w:hAnsi="华文仿宋" w:hint="eastAsia"/>
          <w:color w:val="000000"/>
          <w:sz w:val="28"/>
          <w:szCs w:val="28"/>
        </w:rPr>
        <w:t>。</w:t>
      </w:r>
    </w:p>
    <w:p w:rsidR="00F1361C" w:rsidRPr="00645FC7" w:rsidRDefault="00F1361C" w:rsidP="00645FC7">
      <w:pPr>
        <w:autoSpaceDE w:val="0"/>
        <w:autoSpaceDN w:val="0"/>
        <w:adjustRightInd w:val="0"/>
        <w:spacing w:line="600" w:lineRule="exact"/>
        <w:ind w:firstLineChars="200" w:firstLine="560"/>
        <w:jc w:val="left"/>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（四）预算绩效情况</w:t>
      </w:r>
    </w:p>
    <w:p w:rsidR="003C0291" w:rsidRDefault="003C0291" w:rsidP="00645FC7">
      <w:pPr>
        <w:spacing w:line="600" w:lineRule="atLeas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1.绩效目标管理情况。</w:t>
      </w:r>
    </w:p>
    <w:p w:rsidR="000D3EAD" w:rsidRPr="00645FC7" w:rsidRDefault="000D3EAD" w:rsidP="000D3EAD">
      <w:pPr>
        <w:spacing w:line="600" w:lineRule="atLeast"/>
        <w:ind w:firstLineChars="200" w:firstLine="560"/>
        <w:rPr>
          <w:rFonts w:ascii="华文仿宋" w:eastAsia="华文仿宋" w:hAnsi="华文仿宋"/>
          <w:color w:val="000000"/>
          <w:sz w:val="28"/>
          <w:szCs w:val="28"/>
        </w:rPr>
      </w:pPr>
      <w:r w:rsidRPr="000D3EAD">
        <w:rPr>
          <w:rFonts w:ascii="华文仿宋" w:eastAsia="华文仿宋" w:hAnsi="华文仿宋" w:hint="eastAsia"/>
          <w:color w:val="000000"/>
          <w:sz w:val="28"/>
          <w:szCs w:val="28"/>
        </w:rPr>
        <w:t>2017年度无绩效评价项目</w:t>
      </w:r>
      <w:r>
        <w:rPr>
          <w:rFonts w:ascii="华文仿宋" w:eastAsia="华文仿宋" w:hAnsi="华文仿宋" w:hint="eastAsia"/>
          <w:color w:val="000000"/>
          <w:sz w:val="28"/>
          <w:szCs w:val="28"/>
        </w:rPr>
        <w:t>。</w:t>
      </w:r>
    </w:p>
    <w:p w:rsidR="003C0291" w:rsidRPr="00645FC7" w:rsidRDefault="003C0291" w:rsidP="00645FC7">
      <w:pPr>
        <w:spacing w:line="600" w:lineRule="atLeas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2.部门整体支出绩效自评开展情况。</w:t>
      </w:r>
    </w:p>
    <w:p w:rsidR="002616C0" w:rsidRPr="00645FC7" w:rsidRDefault="003C0291" w:rsidP="00645FC7">
      <w:pPr>
        <w:spacing w:line="600" w:lineRule="atLeast"/>
        <w:ind w:firstLineChars="200" w:firstLine="560"/>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按照预算绩效管理要求，本部门对2017年整体支出开展绩效自评，自评得分</w:t>
      </w:r>
      <w:r w:rsidR="00A12265" w:rsidRPr="00645FC7">
        <w:rPr>
          <w:rFonts w:ascii="华文仿宋" w:eastAsia="华文仿宋" w:hAnsi="华文仿宋" w:hint="eastAsia"/>
          <w:color w:val="000000"/>
          <w:sz w:val="28"/>
          <w:szCs w:val="28"/>
        </w:rPr>
        <w:t>95</w:t>
      </w:r>
      <w:r w:rsidRPr="00645FC7">
        <w:rPr>
          <w:rFonts w:ascii="华文仿宋" w:eastAsia="华文仿宋" w:hAnsi="华文仿宋" w:hint="eastAsia"/>
          <w:color w:val="000000"/>
          <w:sz w:val="28"/>
          <w:szCs w:val="28"/>
        </w:rPr>
        <w:t>分，存在的问题：</w:t>
      </w:r>
      <w:r w:rsidR="00A12265" w:rsidRPr="00645FC7">
        <w:rPr>
          <w:rFonts w:ascii="华文仿宋" w:eastAsia="华文仿宋" w:hAnsi="华文仿宋" w:hint="eastAsia"/>
          <w:color w:val="000000"/>
          <w:sz w:val="28"/>
          <w:szCs w:val="28"/>
        </w:rPr>
        <w:t>创新工作</w:t>
      </w:r>
      <w:r w:rsidR="00B61CAC" w:rsidRPr="00645FC7">
        <w:rPr>
          <w:rFonts w:ascii="华文仿宋" w:eastAsia="华文仿宋" w:hAnsi="华文仿宋" w:hint="eastAsia"/>
          <w:color w:val="000000"/>
          <w:sz w:val="28"/>
          <w:szCs w:val="28"/>
        </w:rPr>
        <w:t>成效不明显</w:t>
      </w:r>
      <w:r w:rsidRPr="00645FC7">
        <w:rPr>
          <w:rFonts w:ascii="华文仿宋" w:eastAsia="华文仿宋" w:hAnsi="华文仿宋" w:hint="eastAsia"/>
          <w:color w:val="000000"/>
          <w:sz w:val="28"/>
          <w:szCs w:val="28"/>
        </w:rPr>
        <w:t>。下一步改进措施：</w:t>
      </w:r>
      <w:r w:rsidR="00B61CAC" w:rsidRPr="00645FC7">
        <w:rPr>
          <w:rFonts w:ascii="华文仿宋" w:eastAsia="华文仿宋" w:hAnsi="华文仿宋" w:hint="eastAsia"/>
          <w:color w:val="000000"/>
          <w:sz w:val="28"/>
          <w:szCs w:val="28"/>
        </w:rPr>
        <w:t>进行科学研究，</w:t>
      </w:r>
      <w:r w:rsidR="00A12265" w:rsidRPr="00645FC7">
        <w:rPr>
          <w:rFonts w:ascii="华文仿宋" w:eastAsia="华文仿宋" w:hAnsi="华文仿宋" w:hint="eastAsia"/>
          <w:color w:val="000000"/>
          <w:sz w:val="28"/>
          <w:szCs w:val="28"/>
        </w:rPr>
        <w:t>加大创新</w:t>
      </w:r>
      <w:r w:rsidRPr="00645FC7">
        <w:rPr>
          <w:rFonts w:ascii="华文仿宋" w:eastAsia="华文仿宋" w:hAnsi="华文仿宋" w:hint="eastAsia"/>
          <w:color w:val="000000"/>
          <w:sz w:val="28"/>
          <w:szCs w:val="28"/>
        </w:rPr>
        <w:t>。</w:t>
      </w:r>
    </w:p>
    <w:p w:rsidR="002616C0" w:rsidRPr="00645FC7" w:rsidRDefault="002616C0" w:rsidP="002616C0">
      <w:pPr>
        <w:jc w:val="center"/>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2017年部门整体支出绩效评价得分表</w:t>
      </w:r>
    </w:p>
    <w:tbl>
      <w:tblPr>
        <w:tblW w:w="0" w:type="auto"/>
        <w:tblInd w:w="-176" w:type="dxa"/>
        <w:tblLayout w:type="fixed"/>
        <w:tblLook w:val="04A0"/>
      </w:tblPr>
      <w:tblGrid>
        <w:gridCol w:w="1702"/>
        <w:gridCol w:w="2268"/>
        <w:gridCol w:w="3402"/>
        <w:gridCol w:w="2126"/>
      </w:tblGrid>
      <w:tr w:rsidR="002616C0" w:rsidRPr="00645FC7" w:rsidTr="00A13CC1">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bCs/>
                <w:color w:val="000000"/>
                <w:kern w:val="0"/>
                <w:sz w:val="28"/>
                <w:szCs w:val="28"/>
              </w:rPr>
            </w:pPr>
            <w:r w:rsidRPr="00645FC7">
              <w:rPr>
                <w:rFonts w:ascii="华文仿宋" w:eastAsia="华文仿宋" w:hAnsi="华文仿宋" w:cs="宋体" w:hint="eastAsia"/>
                <w:bCs/>
                <w:color w:val="000000"/>
                <w:kern w:val="0"/>
                <w:sz w:val="28"/>
                <w:szCs w:val="28"/>
              </w:rPr>
              <w:lastRenderedPageBreak/>
              <w:t>一级指标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bCs/>
                <w:color w:val="000000"/>
                <w:kern w:val="0"/>
                <w:sz w:val="28"/>
                <w:szCs w:val="28"/>
              </w:rPr>
            </w:pPr>
            <w:r w:rsidRPr="00645FC7">
              <w:rPr>
                <w:rFonts w:ascii="华文仿宋" w:eastAsia="华文仿宋" w:hAnsi="华文仿宋" w:cs="宋体" w:hint="eastAsia"/>
                <w:bCs/>
                <w:color w:val="000000"/>
                <w:kern w:val="0"/>
                <w:sz w:val="28"/>
                <w:szCs w:val="28"/>
              </w:rPr>
              <w:t>二级指标</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bCs/>
                <w:color w:val="000000"/>
                <w:kern w:val="0"/>
                <w:sz w:val="28"/>
                <w:szCs w:val="28"/>
              </w:rPr>
            </w:pPr>
            <w:r w:rsidRPr="00645FC7">
              <w:rPr>
                <w:rFonts w:ascii="华文仿宋" w:eastAsia="华文仿宋" w:hAnsi="华文仿宋" w:cs="宋体" w:hint="eastAsia"/>
                <w:bCs/>
                <w:color w:val="000000"/>
                <w:kern w:val="0"/>
                <w:sz w:val="28"/>
                <w:szCs w:val="28"/>
              </w:rPr>
              <w:t>三级指标</w:t>
            </w:r>
          </w:p>
        </w:tc>
        <w:tc>
          <w:tcPr>
            <w:tcW w:w="2126" w:type="dxa"/>
            <w:tcBorders>
              <w:top w:val="single" w:sz="4" w:space="0" w:color="auto"/>
              <w:left w:val="nil"/>
              <w:bottom w:val="single" w:sz="4" w:space="0" w:color="auto"/>
              <w:right w:val="single" w:sz="4" w:space="0" w:color="auto"/>
            </w:tcBorders>
          </w:tcPr>
          <w:p w:rsidR="002616C0" w:rsidRPr="00645FC7" w:rsidRDefault="002616C0" w:rsidP="00A13CC1">
            <w:pPr>
              <w:widowControl/>
              <w:jc w:val="center"/>
              <w:rPr>
                <w:rFonts w:ascii="华文仿宋" w:eastAsia="华文仿宋" w:hAnsi="华文仿宋" w:cs="宋体"/>
                <w:bCs/>
                <w:color w:val="000000"/>
                <w:kern w:val="0"/>
                <w:sz w:val="28"/>
                <w:szCs w:val="28"/>
              </w:rPr>
            </w:pPr>
            <w:r w:rsidRPr="00645FC7">
              <w:rPr>
                <w:rFonts w:ascii="华文仿宋" w:eastAsia="华文仿宋" w:hAnsi="华文仿宋" w:cs="宋体" w:hint="eastAsia"/>
                <w:bCs/>
                <w:color w:val="000000"/>
                <w:kern w:val="0"/>
                <w:sz w:val="28"/>
                <w:szCs w:val="28"/>
              </w:rPr>
              <w:t>得分</w:t>
            </w:r>
          </w:p>
        </w:tc>
      </w:tr>
      <w:tr w:rsidR="002616C0" w:rsidRPr="00645FC7" w:rsidTr="00A13CC1">
        <w:trPr>
          <w:trHeight w:val="520"/>
        </w:trPr>
        <w:tc>
          <w:tcPr>
            <w:tcW w:w="1702" w:type="dxa"/>
            <w:vMerge w:val="restart"/>
            <w:tcBorders>
              <w:top w:val="nil"/>
              <w:left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部门决策（25分）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目标任务（15分）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相关性（5分）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413"/>
        </w:trPr>
        <w:tc>
          <w:tcPr>
            <w:tcW w:w="1702" w:type="dxa"/>
            <w:vMerge/>
            <w:tcBorders>
              <w:left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明确性（5分）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420"/>
        </w:trPr>
        <w:tc>
          <w:tcPr>
            <w:tcW w:w="1702" w:type="dxa"/>
            <w:vMerge/>
            <w:tcBorders>
              <w:left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合理性（5分）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269"/>
        </w:trPr>
        <w:tc>
          <w:tcPr>
            <w:tcW w:w="1702" w:type="dxa"/>
            <w:vMerge/>
            <w:tcBorders>
              <w:left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预算编制（10分）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测算依据（5分）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231"/>
        </w:trPr>
        <w:tc>
          <w:tcPr>
            <w:tcW w:w="1702" w:type="dxa"/>
            <w:vMerge/>
            <w:tcBorders>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目标管理（5分）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477"/>
        </w:trPr>
        <w:tc>
          <w:tcPr>
            <w:tcW w:w="1702" w:type="dxa"/>
            <w:vMerge w:val="restart"/>
            <w:tcBorders>
              <w:top w:val="nil"/>
              <w:left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综合管理（30分）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专项资金分配时限（2分）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省级财力专项预算分配时限（1分）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不适用</w:t>
            </w:r>
          </w:p>
        </w:tc>
      </w:tr>
      <w:tr w:rsidR="002616C0" w:rsidRPr="00645FC7" w:rsidTr="00A13CC1">
        <w:trPr>
          <w:trHeight w:val="413"/>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中央专款分配合</w:t>
            </w:r>
            <w:proofErr w:type="gramStart"/>
            <w:r w:rsidRPr="00645FC7">
              <w:rPr>
                <w:rFonts w:ascii="华文仿宋" w:eastAsia="华文仿宋" w:hAnsi="华文仿宋" w:cs="宋体" w:hint="eastAsia"/>
                <w:color w:val="000000"/>
                <w:kern w:val="0"/>
                <w:sz w:val="28"/>
                <w:szCs w:val="28"/>
              </w:rPr>
              <w:t>规</w:t>
            </w:r>
            <w:proofErr w:type="gramEnd"/>
            <w:r w:rsidRPr="00645FC7">
              <w:rPr>
                <w:rFonts w:ascii="华文仿宋" w:eastAsia="华文仿宋" w:hAnsi="华文仿宋" w:cs="宋体" w:hint="eastAsia"/>
                <w:color w:val="000000"/>
                <w:kern w:val="0"/>
                <w:sz w:val="28"/>
                <w:szCs w:val="28"/>
              </w:rPr>
              <w:t>率（1分）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不适用</w:t>
            </w:r>
          </w:p>
        </w:tc>
      </w:tr>
      <w:tr w:rsidR="002616C0" w:rsidRPr="00645FC7" w:rsidTr="00A13CC1">
        <w:trPr>
          <w:trHeight w:val="277"/>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中期评估（2分）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执行中期评估（2分）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1</w:t>
            </w:r>
          </w:p>
        </w:tc>
      </w:tr>
      <w:tr w:rsidR="002616C0" w:rsidRPr="00645FC7" w:rsidTr="00A13CC1">
        <w:trPr>
          <w:trHeight w:val="381"/>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绩效监控（5分）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预算执行进度监控（2分）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1.5</w:t>
            </w:r>
          </w:p>
        </w:tc>
      </w:tr>
      <w:tr w:rsidR="002616C0" w:rsidRPr="00645FC7" w:rsidTr="00A13CC1">
        <w:trPr>
          <w:trHeight w:val="273"/>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绩效目标动态监控（3分）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235"/>
        </w:trPr>
        <w:tc>
          <w:tcPr>
            <w:tcW w:w="1702" w:type="dxa"/>
            <w:vMerge/>
            <w:tcBorders>
              <w:left w:val="single" w:sz="4" w:space="0" w:color="auto"/>
              <w:right w:val="single" w:sz="4" w:space="0" w:color="auto"/>
            </w:tcBorders>
            <w:shd w:val="clear" w:color="auto" w:fill="auto"/>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非</w:t>
            </w:r>
            <w:proofErr w:type="gramStart"/>
            <w:r w:rsidRPr="00645FC7">
              <w:rPr>
                <w:rFonts w:ascii="华文仿宋" w:eastAsia="华文仿宋" w:hAnsi="华文仿宋" w:cs="宋体" w:hint="eastAsia"/>
                <w:color w:val="000000"/>
                <w:kern w:val="0"/>
                <w:sz w:val="28"/>
                <w:szCs w:val="28"/>
              </w:rPr>
              <w:t>税收入执收</w:t>
            </w:r>
            <w:proofErr w:type="gramEnd"/>
            <w:r w:rsidRPr="00645FC7">
              <w:rPr>
                <w:rFonts w:ascii="华文仿宋" w:eastAsia="华文仿宋" w:hAnsi="华文仿宋" w:cs="宋体" w:hint="eastAsia"/>
                <w:color w:val="000000"/>
                <w:kern w:val="0"/>
                <w:sz w:val="28"/>
                <w:szCs w:val="28"/>
              </w:rPr>
              <w:t>情况（2分）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非税收入征收情况（1分）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1</w:t>
            </w:r>
          </w:p>
        </w:tc>
      </w:tr>
      <w:tr w:rsidR="002616C0" w:rsidRPr="00645FC7" w:rsidTr="00A13CC1">
        <w:trPr>
          <w:trHeight w:val="325"/>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非税收入上缴情况（1分）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1</w:t>
            </w:r>
          </w:p>
        </w:tc>
      </w:tr>
      <w:tr w:rsidR="002616C0" w:rsidRPr="00645FC7" w:rsidTr="00A13CC1">
        <w:trPr>
          <w:trHeight w:val="287"/>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资产管理（6分）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资产管理信息化情况（2分）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235"/>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行政事业单位资产报告情况（2分）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353"/>
        </w:trPr>
        <w:tc>
          <w:tcPr>
            <w:tcW w:w="1702" w:type="dxa"/>
            <w:vMerge/>
            <w:tcBorders>
              <w:left w:val="single" w:sz="4" w:space="0" w:color="auto"/>
              <w:right w:val="single" w:sz="4" w:space="0" w:color="auto"/>
            </w:tcBorders>
            <w:vAlign w:val="center"/>
            <w:hideMark/>
          </w:tcPr>
          <w:p w:rsidR="002616C0" w:rsidRPr="00645FC7" w:rsidRDefault="002616C0" w:rsidP="00A13CC1">
            <w:pPr>
              <w:jc w:val="center"/>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资产管理与预算管理相结合（2分）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272"/>
        </w:trPr>
        <w:tc>
          <w:tcPr>
            <w:tcW w:w="1702" w:type="dxa"/>
            <w:vMerge/>
            <w:tcBorders>
              <w:left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p>
        </w:tc>
        <w:tc>
          <w:tcPr>
            <w:tcW w:w="2268"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内控制度管理（2</w:t>
            </w:r>
            <w:r w:rsidRPr="00645FC7">
              <w:rPr>
                <w:rFonts w:ascii="华文仿宋" w:eastAsia="华文仿宋" w:hAnsi="华文仿宋" w:cs="宋体" w:hint="eastAsia"/>
                <w:color w:val="000000"/>
                <w:kern w:val="0"/>
                <w:sz w:val="28"/>
                <w:szCs w:val="28"/>
              </w:rPr>
              <w:lastRenderedPageBreak/>
              <w:t>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lastRenderedPageBreak/>
              <w:t>内部控制</w:t>
            </w:r>
            <w:proofErr w:type="gramStart"/>
            <w:r w:rsidRPr="00645FC7">
              <w:rPr>
                <w:rFonts w:ascii="华文仿宋" w:eastAsia="华文仿宋" w:hAnsi="华文仿宋" w:cs="宋体" w:hint="eastAsia"/>
                <w:color w:val="000000"/>
                <w:kern w:val="0"/>
                <w:sz w:val="28"/>
                <w:szCs w:val="28"/>
              </w:rPr>
              <w:t>度健全</w:t>
            </w:r>
            <w:proofErr w:type="gramEnd"/>
            <w:r w:rsidRPr="00645FC7">
              <w:rPr>
                <w:rFonts w:ascii="华文仿宋" w:eastAsia="华文仿宋" w:hAnsi="华文仿宋" w:cs="宋体" w:hint="eastAsia"/>
                <w:color w:val="000000"/>
                <w:kern w:val="0"/>
                <w:sz w:val="28"/>
                <w:szCs w:val="28"/>
              </w:rPr>
              <w:t>完整（2</w:t>
            </w:r>
            <w:r w:rsidRPr="00645FC7">
              <w:rPr>
                <w:rFonts w:ascii="华文仿宋" w:eastAsia="华文仿宋" w:hAnsi="华文仿宋" w:cs="宋体" w:hint="eastAsia"/>
                <w:color w:val="000000"/>
                <w:kern w:val="0"/>
                <w:sz w:val="28"/>
                <w:szCs w:val="28"/>
              </w:rPr>
              <w:lastRenderedPageBreak/>
              <w:t>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lastRenderedPageBreak/>
              <w:t>2</w:t>
            </w:r>
          </w:p>
        </w:tc>
      </w:tr>
      <w:tr w:rsidR="002616C0" w:rsidRPr="00645FC7" w:rsidTr="00A13CC1">
        <w:trPr>
          <w:trHeight w:val="221"/>
        </w:trPr>
        <w:tc>
          <w:tcPr>
            <w:tcW w:w="1702" w:type="dxa"/>
            <w:vMerge/>
            <w:tcBorders>
              <w:left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信息公开（6分）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预算公开（2分）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197"/>
        </w:trPr>
        <w:tc>
          <w:tcPr>
            <w:tcW w:w="1702" w:type="dxa"/>
            <w:vMerge/>
            <w:tcBorders>
              <w:left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决算公开（2分）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287"/>
        </w:trPr>
        <w:tc>
          <w:tcPr>
            <w:tcW w:w="1702" w:type="dxa"/>
            <w:vMerge/>
            <w:tcBorders>
              <w:left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绩效信息公开（2分）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405"/>
        </w:trPr>
        <w:tc>
          <w:tcPr>
            <w:tcW w:w="1702" w:type="dxa"/>
            <w:vMerge/>
            <w:tcBorders>
              <w:left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绩效评价（5分）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绩效评价开展（2分）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w:t>
            </w:r>
          </w:p>
        </w:tc>
      </w:tr>
      <w:tr w:rsidR="002616C0" w:rsidRPr="00645FC7" w:rsidTr="00A13CC1">
        <w:trPr>
          <w:trHeight w:val="127"/>
        </w:trPr>
        <w:tc>
          <w:tcPr>
            <w:tcW w:w="1702" w:type="dxa"/>
            <w:vMerge/>
            <w:tcBorders>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评价结果应用（3分）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3</w:t>
            </w:r>
          </w:p>
        </w:tc>
      </w:tr>
      <w:tr w:rsidR="002616C0" w:rsidRPr="00645FC7" w:rsidTr="00A13CC1">
        <w:trPr>
          <w:trHeight w:val="231"/>
        </w:trPr>
        <w:tc>
          <w:tcPr>
            <w:tcW w:w="1702" w:type="dxa"/>
            <w:vMerge w:val="restart"/>
            <w:tcBorders>
              <w:top w:val="nil"/>
              <w:left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部门绩效情况（45分）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履职成效（20分）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部门特性指标</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20</w:t>
            </w:r>
          </w:p>
        </w:tc>
      </w:tr>
      <w:tr w:rsidR="002616C0" w:rsidRPr="00645FC7" w:rsidTr="00A13CC1">
        <w:trPr>
          <w:trHeight w:val="180"/>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p>
        </w:tc>
        <w:tc>
          <w:tcPr>
            <w:tcW w:w="2126" w:type="dxa"/>
            <w:tcBorders>
              <w:top w:val="nil"/>
              <w:left w:val="nil"/>
              <w:bottom w:val="single" w:sz="4" w:space="0" w:color="auto"/>
              <w:right w:val="single" w:sz="4" w:space="0" w:color="auto"/>
            </w:tcBorders>
          </w:tcPr>
          <w:p w:rsidR="002616C0" w:rsidRPr="00645FC7" w:rsidRDefault="002616C0" w:rsidP="00A13CC1">
            <w:pPr>
              <w:widowControl/>
              <w:jc w:val="center"/>
              <w:rPr>
                <w:rFonts w:ascii="华文仿宋" w:eastAsia="华文仿宋" w:hAnsi="华文仿宋" w:cs="宋体"/>
                <w:color w:val="000000"/>
                <w:kern w:val="0"/>
                <w:sz w:val="28"/>
                <w:szCs w:val="28"/>
              </w:rPr>
            </w:pPr>
          </w:p>
        </w:tc>
      </w:tr>
      <w:tr w:rsidR="002616C0" w:rsidRPr="00645FC7" w:rsidTr="00A13CC1">
        <w:trPr>
          <w:trHeight w:val="240"/>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p>
        </w:tc>
        <w:tc>
          <w:tcPr>
            <w:tcW w:w="2126" w:type="dxa"/>
            <w:tcBorders>
              <w:top w:val="nil"/>
              <w:left w:val="nil"/>
              <w:bottom w:val="single" w:sz="4" w:space="0" w:color="auto"/>
              <w:right w:val="single" w:sz="4" w:space="0" w:color="auto"/>
            </w:tcBorders>
          </w:tcPr>
          <w:p w:rsidR="002616C0" w:rsidRPr="00645FC7" w:rsidRDefault="002616C0" w:rsidP="00A13CC1">
            <w:pPr>
              <w:widowControl/>
              <w:jc w:val="center"/>
              <w:rPr>
                <w:rFonts w:ascii="华文仿宋" w:eastAsia="华文仿宋" w:hAnsi="华文仿宋" w:cs="宋体"/>
                <w:color w:val="000000"/>
                <w:kern w:val="0"/>
                <w:sz w:val="28"/>
                <w:szCs w:val="28"/>
              </w:rPr>
            </w:pPr>
          </w:p>
        </w:tc>
      </w:tr>
      <w:tr w:rsidR="002616C0" w:rsidRPr="00645FC7" w:rsidTr="00A13CC1">
        <w:trPr>
          <w:trHeight w:val="240"/>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p>
        </w:tc>
        <w:tc>
          <w:tcPr>
            <w:tcW w:w="2126" w:type="dxa"/>
            <w:tcBorders>
              <w:top w:val="nil"/>
              <w:left w:val="nil"/>
              <w:bottom w:val="single" w:sz="4" w:space="0" w:color="auto"/>
              <w:right w:val="single" w:sz="4" w:space="0" w:color="auto"/>
            </w:tcBorders>
          </w:tcPr>
          <w:p w:rsidR="002616C0" w:rsidRPr="00645FC7" w:rsidRDefault="002616C0" w:rsidP="00A13CC1">
            <w:pPr>
              <w:widowControl/>
              <w:jc w:val="center"/>
              <w:rPr>
                <w:rFonts w:ascii="华文仿宋" w:eastAsia="华文仿宋" w:hAnsi="华文仿宋" w:cs="宋体"/>
                <w:color w:val="000000"/>
                <w:kern w:val="0"/>
                <w:sz w:val="28"/>
                <w:szCs w:val="28"/>
              </w:rPr>
            </w:pPr>
          </w:p>
        </w:tc>
      </w:tr>
      <w:tr w:rsidR="002616C0" w:rsidRPr="00645FC7" w:rsidTr="00A13CC1">
        <w:trPr>
          <w:trHeight w:val="157"/>
        </w:trPr>
        <w:tc>
          <w:tcPr>
            <w:tcW w:w="1702" w:type="dxa"/>
            <w:vMerge/>
            <w:tcBorders>
              <w:left w:val="single" w:sz="4" w:space="0" w:color="auto"/>
              <w:right w:val="single" w:sz="4" w:space="0" w:color="auto"/>
            </w:tcBorders>
            <w:shd w:val="clear" w:color="auto" w:fill="auto"/>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可持续发展能力（15分）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重点改革（重点工作）完成情况（5分）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320"/>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科技（制度、方法、机制等）创新（5分）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4.5</w:t>
            </w:r>
          </w:p>
        </w:tc>
      </w:tr>
      <w:tr w:rsidR="002616C0" w:rsidRPr="00645FC7" w:rsidTr="00A13CC1">
        <w:trPr>
          <w:trHeight w:val="385"/>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人才培养（5分）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5</w:t>
            </w:r>
          </w:p>
        </w:tc>
      </w:tr>
      <w:tr w:rsidR="002616C0" w:rsidRPr="00645FC7" w:rsidTr="00A13CC1">
        <w:trPr>
          <w:trHeight w:val="432"/>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val="restart"/>
            <w:tcBorders>
              <w:top w:val="nil"/>
              <w:left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满意度（10分）</w:t>
            </w: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协作部门满意度（3分）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3</w:t>
            </w:r>
          </w:p>
        </w:tc>
      </w:tr>
      <w:tr w:rsidR="002616C0" w:rsidRPr="00645FC7" w:rsidTr="00A13CC1">
        <w:trPr>
          <w:trHeight w:val="396"/>
        </w:trPr>
        <w:tc>
          <w:tcPr>
            <w:tcW w:w="1702"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2268" w:type="dxa"/>
            <w:vMerge/>
            <w:tcBorders>
              <w:left w:val="single" w:sz="4" w:space="0" w:color="auto"/>
              <w:right w:val="single" w:sz="4" w:space="0" w:color="auto"/>
            </w:tcBorders>
            <w:vAlign w:val="center"/>
            <w:hideMark/>
          </w:tcPr>
          <w:p w:rsidR="002616C0" w:rsidRPr="00645FC7" w:rsidRDefault="002616C0" w:rsidP="00A13CC1">
            <w:pPr>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管理对象满意度（3分）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3</w:t>
            </w:r>
          </w:p>
        </w:tc>
      </w:tr>
      <w:tr w:rsidR="002616C0" w:rsidRPr="00645FC7" w:rsidTr="00A13CC1">
        <w:trPr>
          <w:trHeight w:val="411"/>
        </w:trPr>
        <w:tc>
          <w:tcPr>
            <w:tcW w:w="1702" w:type="dxa"/>
            <w:vMerge/>
            <w:tcBorders>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616C0" w:rsidRPr="00645FC7" w:rsidRDefault="002616C0" w:rsidP="00A13CC1">
            <w:pPr>
              <w:widowControl/>
              <w:jc w:val="left"/>
              <w:rPr>
                <w:rFonts w:ascii="华文仿宋" w:eastAsia="华文仿宋" w:hAnsi="华文仿宋" w:cs="宋体"/>
                <w:color w:val="000000"/>
                <w:kern w:val="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616C0" w:rsidRPr="00645FC7" w:rsidRDefault="002616C0"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社会公众满意度（4分）</w:t>
            </w:r>
          </w:p>
        </w:tc>
        <w:tc>
          <w:tcPr>
            <w:tcW w:w="2126" w:type="dxa"/>
            <w:tcBorders>
              <w:top w:val="nil"/>
              <w:left w:val="nil"/>
              <w:bottom w:val="single" w:sz="4" w:space="0" w:color="auto"/>
              <w:right w:val="single" w:sz="4" w:space="0" w:color="auto"/>
            </w:tcBorders>
          </w:tcPr>
          <w:p w:rsidR="002616C0" w:rsidRPr="00645FC7" w:rsidRDefault="00F84EDF" w:rsidP="00A13CC1">
            <w:pPr>
              <w:widowControl/>
              <w:jc w:val="center"/>
              <w:rPr>
                <w:rFonts w:ascii="华文仿宋" w:eastAsia="华文仿宋" w:hAnsi="华文仿宋" w:cs="宋体"/>
                <w:color w:val="000000"/>
                <w:kern w:val="0"/>
                <w:sz w:val="28"/>
                <w:szCs w:val="28"/>
              </w:rPr>
            </w:pPr>
            <w:r w:rsidRPr="00645FC7">
              <w:rPr>
                <w:rFonts w:ascii="华文仿宋" w:eastAsia="华文仿宋" w:hAnsi="华文仿宋" w:cs="宋体" w:hint="eastAsia"/>
                <w:color w:val="000000"/>
                <w:kern w:val="0"/>
                <w:sz w:val="28"/>
                <w:szCs w:val="28"/>
              </w:rPr>
              <w:t>4</w:t>
            </w:r>
          </w:p>
        </w:tc>
      </w:tr>
    </w:tbl>
    <w:p w:rsidR="002616C0" w:rsidRPr="00645FC7" w:rsidRDefault="002616C0" w:rsidP="00B61CAC">
      <w:pPr>
        <w:spacing w:line="600" w:lineRule="atLeast"/>
        <w:rPr>
          <w:rFonts w:ascii="华文仿宋" w:eastAsia="华文仿宋" w:hAnsi="华文仿宋"/>
          <w:color w:val="000000"/>
          <w:sz w:val="28"/>
          <w:szCs w:val="28"/>
        </w:rPr>
      </w:pPr>
    </w:p>
    <w:p w:rsidR="00F1361C" w:rsidRPr="00645FC7" w:rsidRDefault="00F1361C" w:rsidP="00645FC7">
      <w:pPr>
        <w:autoSpaceDE w:val="0"/>
        <w:autoSpaceDN w:val="0"/>
        <w:adjustRightInd w:val="0"/>
        <w:spacing w:line="600" w:lineRule="exact"/>
        <w:ind w:firstLineChars="200" w:firstLine="560"/>
        <w:jc w:val="left"/>
        <w:rPr>
          <w:rFonts w:ascii="华文仿宋" w:eastAsia="华文仿宋" w:hAnsi="华文仿宋"/>
          <w:color w:val="000000"/>
          <w:sz w:val="28"/>
          <w:szCs w:val="28"/>
        </w:rPr>
      </w:pPr>
      <w:r w:rsidRPr="00645FC7">
        <w:rPr>
          <w:rFonts w:ascii="华文仿宋" w:eastAsia="华文仿宋" w:hAnsi="华文仿宋" w:hint="eastAsia"/>
          <w:color w:val="000000"/>
          <w:sz w:val="28"/>
          <w:szCs w:val="28"/>
        </w:rPr>
        <w:t>十</w:t>
      </w:r>
      <w:r w:rsidR="003C0291" w:rsidRPr="00645FC7">
        <w:rPr>
          <w:rFonts w:ascii="华文仿宋" w:eastAsia="华文仿宋" w:hAnsi="华文仿宋" w:hint="eastAsia"/>
          <w:color w:val="000000"/>
          <w:sz w:val="28"/>
          <w:szCs w:val="28"/>
        </w:rPr>
        <w:t>一</w:t>
      </w:r>
      <w:r w:rsidRPr="00645FC7">
        <w:rPr>
          <w:rFonts w:ascii="华文仿宋" w:eastAsia="华文仿宋" w:hAnsi="华文仿宋" w:hint="eastAsia"/>
          <w:color w:val="000000"/>
          <w:sz w:val="28"/>
          <w:szCs w:val="28"/>
        </w:rPr>
        <w:t>、名词解释</w:t>
      </w:r>
    </w:p>
    <w:p w:rsidR="00921652" w:rsidRPr="00645FC7" w:rsidRDefault="00921652"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 xml:space="preserve">1.财政拨款收入：指省级财政当年拨付的资金。 </w:t>
      </w:r>
    </w:p>
    <w:p w:rsidR="00921652" w:rsidRPr="00645FC7" w:rsidRDefault="00921652"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2.年初结转和结余：指以前年度尚未完成、结转到本年按有关规</w:t>
      </w:r>
      <w:r w:rsidRPr="00645FC7">
        <w:rPr>
          <w:rFonts w:ascii="华文仿宋" w:eastAsia="华文仿宋" w:hAnsi="华文仿宋" w:cs="仿宋_GB2312" w:hint="eastAsia"/>
          <w:color w:val="auto"/>
          <w:sz w:val="28"/>
          <w:szCs w:val="28"/>
        </w:rPr>
        <w:lastRenderedPageBreak/>
        <w:t xml:space="preserve">定继续使用的资金。 </w:t>
      </w:r>
    </w:p>
    <w:p w:rsidR="00921652" w:rsidRPr="00645FC7" w:rsidRDefault="00921652"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 xml:space="preserve">3. </w:t>
      </w:r>
      <w:r w:rsidRPr="00645FC7">
        <w:rPr>
          <w:rStyle w:val="a6"/>
          <w:rFonts w:ascii="华文仿宋" w:eastAsia="华文仿宋" w:hAnsi="华文仿宋" w:cs="仿宋_GB2312" w:hint="eastAsia"/>
          <w:b w:val="0"/>
          <w:sz w:val="28"/>
          <w:szCs w:val="28"/>
        </w:rPr>
        <w:t>公共安全支出（类）检察（款）行政运行（项）</w:t>
      </w:r>
      <w:r w:rsidRPr="00645FC7">
        <w:rPr>
          <w:rFonts w:ascii="华文仿宋" w:eastAsia="华文仿宋" w:hAnsi="华文仿宋" w:cs="仿宋_GB2312" w:hint="eastAsia"/>
          <w:color w:val="auto"/>
          <w:sz w:val="28"/>
          <w:szCs w:val="28"/>
        </w:rPr>
        <w:t>：指本院干警在职人员工资津贴支出、日常办公经费开支以及办公办案设备购置等支出。</w:t>
      </w:r>
    </w:p>
    <w:p w:rsidR="00921652" w:rsidRPr="00645FC7" w:rsidRDefault="001E7383" w:rsidP="00645FC7">
      <w:pPr>
        <w:pStyle w:val="Default"/>
        <w:spacing w:line="580" w:lineRule="exact"/>
        <w:ind w:firstLineChars="200" w:firstLine="560"/>
        <w:jc w:val="both"/>
        <w:rPr>
          <w:rStyle w:val="a6"/>
          <w:rFonts w:ascii="华文仿宋" w:eastAsia="华文仿宋" w:hAnsi="华文仿宋" w:cs="仿宋_GB2312"/>
          <w:b w:val="0"/>
          <w:sz w:val="28"/>
          <w:szCs w:val="28"/>
        </w:rPr>
      </w:pPr>
      <w:r w:rsidRPr="00645FC7">
        <w:rPr>
          <w:rStyle w:val="a6"/>
          <w:rFonts w:ascii="华文仿宋" w:eastAsia="华文仿宋" w:hAnsi="华文仿宋" w:cs="仿宋_GB2312" w:hint="eastAsia"/>
          <w:b w:val="0"/>
          <w:sz w:val="28"/>
          <w:szCs w:val="28"/>
        </w:rPr>
        <w:t>4.</w:t>
      </w:r>
      <w:r w:rsidR="00921652" w:rsidRPr="00645FC7">
        <w:rPr>
          <w:rStyle w:val="a6"/>
          <w:rFonts w:ascii="华文仿宋" w:eastAsia="华文仿宋" w:hAnsi="华文仿宋" w:cs="仿宋_GB2312" w:hint="eastAsia"/>
          <w:b w:val="0"/>
          <w:sz w:val="28"/>
          <w:szCs w:val="28"/>
        </w:rPr>
        <w:t>公共安全支出（类）检察（款）一般行政管理事务（项）：指本院办</w:t>
      </w:r>
      <w:proofErr w:type="gramStart"/>
      <w:r w:rsidR="00921652" w:rsidRPr="00645FC7">
        <w:rPr>
          <w:rStyle w:val="a6"/>
          <w:rFonts w:ascii="华文仿宋" w:eastAsia="华文仿宋" w:hAnsi="华文仿宋" w:cs="仿宋_GB2312" w:hint="eastAsia"/>
          <w:b w:val="0"/>
          <w:sz w:val="28"/>
          <w:szCs w:val="28"/>
        </w:rPr>
        <w:t>案经费</w:t>
      </w:r>
      <w:proofErr w:type="gramEnd"/>
      <w:r w:rsidR="00921652" w:rsidRPr="00645FC7">
        <w:rPr>
          <w:rStyle w:val="a6"/>
          <w:rFonts w:ascii="华文仿宋" w:eastAsia="华文仿宋" w:hAnsi="华文仿宋" w:cs="仿宋_GB2312" w:hint="eastAsia"/>
          <w:b w:val="0"/>
          <w:sz w:val="28"/>
          <w:szCs w:val="28"/>
        </w:rPr>
        <w:t>开支 及协勤经费开支等项目支出。</w:t>
      </w:r>
    </w:p>
    <w:p w:rsidR="00921652" w:rsidRPr="00645FC7" w:rsidRDefault="001E7383" w:rsidP="00645FC7">
      <w:pPr>
        <w:pStyle w:val="Default"/>
        <w:spacing w:line="580" w:lineRule="exact"/>
        <w:ind w:firstLineChars="200" w:firstLine="560"/>
        <w:jc w:val="both"/>
        <w:rPr>
          <w:rStyle w:val="a6"/>
          <w:rFonts w:ascii="华文仿宋" w:eastAsia="华文仿宋" w:hAnsi="华文仿宋"/>
          <w:b w:val="0"/>
          <w:sz w:val="28"/>
          <w:szCs w:val="28"/>
        </w:rPr>
      </w:pPr>
      <w:r w:rsidRPr="00645FC7">
        <w:rPr>
          <w:rStyle w:val="a6"/>
          <w:rFonts w:ascii="华文仿宋" w:eastAsia="华文仿宋" w:hAnsi="华文仿宋" w:hint="eastAsia"/>
          <w:b w:val="0"/>
          <w:sz w:val="28"/>
          <w:szCs w:val="28"/>
        </w:rPr>
        <w:t>5.</w:t>
      </w:r>
      <w:r w:rsidR="00921652" w:rsidRPr="00645FC7">
        <w:rPr>
          <w:rStyle w:val="a6"/>
          <w:rFonts w:ascii="华文仿宋" w:eastAsia="华文仿宋" w:hAnsi="华文仿宋" w:hint="eastAsia"/>
          <w:b w:val="0"/>
          <w:sz w:val="28"/>
          <w:szCs w:val="28"/>
        </w:rPr>
        <w:t>公共安全支出（类）检察（款）查办和预防职务犯罪（项）：</w:t>
      </w:r>
      <w:r w:rsidRPr="00645FC7">
        <w:rPr>
          <w:rStyle w:val="a6"/>
          <w:rFonts w:ascii="华文仿宋" w:eastAsia="华文仿宋" w:hAnsi="华文仿宋" w:hint="eastAsia"/>
          <w:b w:val="0"/>
          <w:sz w:val="28"/>
          <w:szCs w:val="28"/>
        </w:rPr>
        <w:t>指本院查办职务犯罪案件办案费用开支。</w:t>
      </w:r>
    </w:p>
    <w:p w:rsidR="001E7383"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Style w:val="a6"/>
          <w:rFonts w:ascii="华文仿宋" w:eastAsia="华文仿宋" w:hAnsi="华文仿宋" w:hint="eastAsia"/>
          <w:b w:val="0"/>
          <w:sz w:val="28"/>
          <w:szCs w:val="28"/>
        </w:rPr>
        <w:t>6.公共安全支出（类）检察（款）其他检察支出（项）：指本院其他检察事务支出。</w:t>
      </w:r>
    </w:p>
    <w:p w:rsidR="00921652"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7</w:t>
      </w:r>
      <w:r w:rsidR="00921652" w:rsidRPr="00645FC7">
        <w:rPr>
          <w:rFonts w:ascii="华文仿宋" w:eastAsia="华文仿宋" w:hAnsi="华文仿宋" w:cs="仿宋_GB2312" w:hint="eastAsia"/>
          <w:color w:val="auto"/>
          <w:sz w:val="28"/>
          <w:szCs w:val="28"/>
        </w:rPr>
        <w:t>.</w:t>
      </w:r>
      <w:r w:rsidR="00921652" w:rsidRPr="00645FC7">
        <w:rPr>
          <w:rStyle w:val="a6"/>
          <w:rFonts w:ascii="华文仿宋" w:eastAsia="华文仿宋" w:hAnsi="华文仿宋" w:cs="仿宋_GB2312" w:hint="eastAsia"/>
          <w:b w:val="0"/>
          <w:sz w:val="28"/>
          <w:szCs w:val="28"/>
        </w:rPr>
        <w:t xml:space="preserve"> 教育支出（类）进修及培训（款）培训支出（项）</w:t>
      </w:r>
      <w:r w:rsidR="00921652" w:rsidRPr="00645FC7">
        <w:rPr>
          <w:rFonts w:ascii="华文仿宋" w:eastAsia="华文仿宋" w:hAnsi="华文仿宋" w:cs="仿宋_GB2312" w:hint="eastAsia"/>
          <w:color w:val="auto"/>
          <w:sz w:val="28"/>
          <w:szCs w:val="28"/>
        </w:rPr>
        <w:t>：指本院干警思想政治教育、进修及培训支出。</w:t>
      </w:r>
    </w:p>
    <w:p w:rsidR="00921652"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8</w:t>
      </w:r>
      <w:r w:rsidR="00921652" w:rsidRPr="00645FC7">
        <w:rPr>
          <w:rFonts w:ascii="华文仿宋" w:eastAsia="华文仿宋" w:hAnsi="华文仿宋" w:cs="仿宋_GB2312" w:hint="eastAsia"/>
          <w:color w:val="auto"/>
          <w:sz w:val="28"/>
          <w:szCs w:val="28"/>
        </w:rPr>
        <w:t>.</w:t>
      </w:r>
      <w:r w:rsidRPr="00645FC7">
        <w:rPr>
          <w:rStyle w:val="a6"/>
          <w:rFonts w:ascii="华文仿宋" w:eastAsia="华文仿宋" w:hAnsi="华文仿宋" w:cs="仿宋_GB2312" w:hint="eastAsia"/>
          <w:b w:val="0"/>
          <w:sz w:val="28"/>
          <w:szCs w:val="28"/>
        </w:rPr>
        <w:t xml:space="preserve"> 社会保障和就业支出（类）行政事业单位离退休（款）机归口管理的行政单位离退休（项）:</w:t>
      </w:r>
      <w:r w:rsidR="00921652" w:rsidRPr="00645FC7">
        <w:rPr>
          <w:rFonts w:ascii="华文仿宋" w:eastAsia="华文仿宋" w:hAnsi="华文仿宋" w:cs="仿宋_GB2312" w:hint="eastAsia"/>
          <w:color w:val="auto"/>
          <w:sz w:val="28"/>
          <w:szCs w:val="28"/>
        </w:rPr>
        <w:t>：指本院退休干警退休费用</w:t>
      </w:r>
      <w:r w:rsidRPr="00645FC7">
        <w:rPr>
          <w:rFonts w:ascii="华文仿宋" w:eastAsia="华文仿宋" w:hAnsi="华文仿宋" w:cs="仿宋_GB2312" w:hint="eastAsia"/>
          <w:color w:val="auto"/>
          <w:sz w:val="28"/>
          <w:szCs w:val="28"/>
        </w:rPr>
        <w:t>如退休慰问金</w:t>
      </w:r>
      <w:r w:rsidR="00921652" w:rsidRPr="00645FC7">
        <w:rPr>
          <w:rFonts w:ascii="华文仿宋" w:eastAsia="华文仿宋" w:hAnsi="华文仿宋" w:cs="仿宋_GB2312" w:hint="eastAsia"/>
          <w:color w:val="auto"/>
          <w:sz w:val="28"/>
          <w:szCs w:val="28"/>
        </w:rPr>
        <w:t>等支出。</w:t>
      </w:r>
    </w:p>
    <w:p w:rsidR="001E7383" w:rsidRPr="00645FC7" w:rsidRDefault="001E7383" w:rsidP="00645FC7">
      <w:pPr>
        <w:pStyle w:val="Default"/>
        <w:spacing w:line="580" w:lineRule="exact"/>
        <w:ind w:firstLineChars="200" w:firstLine="560"/>
        <w:jc w:val="both"/>
        <w:rPr>
          <w:rStyle w:val="a6"/>
          <w:rFonts w:ascii="华文仿宋" w:eastAsia="华文仿宋" w:hAnsi="华文仿宋" w:cs="仿宋_GB2312"/>
          <w:b w:val="0"/>
          <w:sz w:val="28"/>
          <w:szCs w:val="28"/>
        </w:rPr>
      </w:pPr>
      <w:r w:rsidRPr="00645FC7">
        <w:rPr>
          <w:rStyle w:val="a6"/>
          <w:rFonts w:ascii="华文仿宋" w:eastAsia="华文仿宋" w:hAnsi="华文仿宋" w:cs="仿宋_GB2312" w:hint="eastAsia"/>
          <w:b w:val="0"/>
          <w:sz w:val="28"/>
          <w:szCs w:val="28"/>
        </w:rPr>
        <w:t>9.社会保障和就业支出（类）行政事业单位离退休（款）机关事业单位基本养老保险缴费支出（项）:指本院干警基本养老保险缴费支出。</w:t>
      </w:r>
    </w:p>
    <w:p w:rsidR="001E7383"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Style w:val="a6"/>
          <w:rFonts w:ascii="华文仿宋" w:eastAsia="华文仿宋" w:hAnsi="华文仿宋" w:cs="仿宋_GB2312" w:hint="eastAsia"/>
          <w:b w:val="0"/>
          <w:sz w:val="28"/>
          <w:szCs w:val="28"/>
        </w:rPr>
        <w:t>10.社会保障和就业支出（类）抚恤（款）死亡抚恤（项）:指本院退休干警死亡抚恤支出。</w:t>
      </w:r>
    </w:p>
    <w:p w:rsidR="00921652"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11.</w:t>
      </w:r>
      <w:r w:rsidRPr="00645FC7">
        <w:rPr>
          <w:rStyle w:val="a6"/>
          <w:rFonts w:ascii="华文仿宋" w:eastAsia="华文仿宋" w:hAnsi="华文仿宋" w:cs="仿宋_GB2312" w:hint="eastAsia"/>
          <w:b w:val="0"/>
          <w:sz w:val="28"/>
          <w:szCs w:val="28"/>
        </w:rPr>
        <w:t xml:space="preserve"> 医疗卫生与计划生育支出（类）行政事业单位医疗（款）行政单位医疗（项）:</w:t>
      </w:r>
      <w:r w:rsidR="00921652" w:rsidRPr="00645FC7">
        <w:rPr>
          <w:rFonts w:ascii="华文仿宋" w:eastAsia="华文仿宋" w:hAnsi="华文仿宋" w:cs="仿宋_GB2312" w:hint="eastAsia"/>
          <w:color w:val="auto"/>
          <w:sz w:val="28"/>
          <w:szCs w:val="28"/>
        </w:rPr>
        <w:t>指本院在职干警医疗保险、生育保险、工伤保险等支出。</w:t>
      </w:r>
    </w:p>
    <w:p w:rsidR="00921652"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12</w:t>
      </w:r>
      <w:r w:rsidR="00921652" w:rsidRPr="00645FC7">
        <w:rPr>
          <w:rFonts w:ascii="华文仿宋" w:eastAsia="华文仿宋" w:hAnsi="华文仿宋" w:cs="仿宋_GB2312" w:hint="eastAsia"/>
          <w:color w:val="auto"/>
          <w:sz w:val="28"/>
          <w:szCs w:val="28"/>
        </w:rPr>
        <w:t>.年末结转和结余：指本年度或以前年度预算安排、因客观条件</w:t>
      </w:r>
      <w:r w:rsidR="00921652" w:rsidRPr="00645FC7">
        <w:rPr>
          <w:rFonts w:ascii="华文仿宋" w:eastAsia="华文仿宋" w:hAnsi="华文仿宋" w:cs="仿宋_GB2312" w:hint="eastAsia"/>
          <w:color w:val="auto"/>
          <w:sz w:val="28"/>
          <w:szCs w:val="28"/>
        </w:rPr>
        <w:lastRenderedPageBreak/>
        <w:t>发生变化无法按原计划实施，需延迟到以后年度按有关规定继续使用的资金。</w:t>
      </w:r>
    </w:p>
    <w:p w:rsidR="00921652" w:rsidRPr="00645FC7" w:rsidRDefault="001E7383"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13.</w:t>
      </w:r>
      <w:r w:rsidR="00921652" w:rsidRPr="00645FC7">
        <w:rPr>
          <w:rFonts w:ascii="华文仿宋" w:eastAsia="华文仿宋" w:hAnsi="华文仿宋" w:cs="仿宋_GB2312" w:hint="eastAsia"/>
          <w:sz w:val="28"/>
          <w:szCs w:val="28"/>
        </w:rPr>
        <w:t>基本支出：指为保障机构正常运转、完成日常工作任务而发生的人员支出和公用支出。</w:t>
      </w:r>
    </w:p>
    <w:p w:rsidR="00921652" w:rsidRPr="00645FC7" w:rsidRDefault="001E7383" w:rsidP="00645FC7">
      <w:pPr>
        <w:spacing w:line="580" w:lineRule="exact"/>
        <w:ind w:firstLineChars="200" w:firstLine="560"/>
        <w:rPr>
          <w:rFonts w:ascii="华文仿宋" w:eastAsia="华文仿宋" w:hAnsi="华文仿宋" w:cs="仿宋_GB2312"/>
          <w:sz w:val="28"/>
          <w:szCs w:val="28"/>
        </w:rPr>
      </w:pPr>
      <w:r w:rsidRPr="00645FC7">
        <w:rPr>
          <w:rFonts w:ascii="华文仿宋" w:eastAsia="华文仿宋" w:hAnsi="华文仿宋" w:cs="仿宋_GB2312" w:hint="eastAsia"/>
          <w:sz w:val="28"/>
          <w:szCs w:val="28"/>
        </w:rPr>
        <w:t>14.</w:t>
      </w:r>
      <w:r w:rsidR="00921652" w:rsidRPr="00645FC7">
        <w:rPr>
          <w:rFonts w:ascii="华文仿宋" w:eastAsia="华文仿宋" w:hAnsi="华文仿宋" w:cs="仿宋_GB2312" w:hint="eastAsia"/>
          <w:sz w:val="28"/>
          <w:szCs w:val="28"/>
        </w:rPr>
        <w:t xml:space="preserve">项目支出：指在基本支出之外为完成特定行政任务和事业发展目标所发生的支出。 </w:t>
      </w:r>
    </w:p>
    <w:p w:rsidR="00921652" w:rsidRPr="00645FC7" w:rsidRDefault="001E7383"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15</w:t>
      </w:r>
      <w:r w:rsidR="00921652" w:rsidRPr="00645FC7">
        <w:rPr>
          <w:rFonts w:ascii="华文仿宋" w:eastAsia="华文仿宋" w:hAnsi="华文仿宋" w:cs="仿宋_GB2312" w:hint="eastAsia"/>
          <w:color w:val="auto"/>
          <w:sz w:val="28"/>
          <w:szCs w:val="28"/>
        </w:rPr>
        <w:t>.“三公”经费：纳入省级财政预决算管理的“三公”经费，是指部门用财政拨款安排的因公出国（境）费、公务用车购置及运行费和公务接待费。其中，公务用车购置及运行</w:t>
      </w:r>
      <w:proofErr w:type="gramStart"/>
      <w:r w:rsidR="00921652" w:rsidRPr="00645FC7">
        <w:rPr>
          <w:rFonts w:ascii="华文仿宋" w:eastAsia="华文仿宋" w:hAnsi="华文仿宋" w:cs="仿宋_GB2312" w:hint="eastAsia"/>
          <w:color w:val="auto"/>
          <w:sz w:val="28"/>
          <w:szCs w:val="28"/>
        </w:rPr>
        <w:t>费反映</w:t>
      </w:r>
      <w:proofErr w:type="gramEnd"/>
      <w:r w:rsidR="00921652" w:rsidRPr="00645FC7">
        <w:rPr>
          <w:rFonts w:ascii="华文仿宋" w:eastAsia="华文仿宋" w:hAnsi="华文仿宋" w:cs="仿宋_GB2312" w:hint="eastAsia"/>
          <w:color w:val="auto"/>
          <w:sz w:val="28"/>
          <w:szCs w:val="28"/>
        </w:rPr>
        <w:t>单位公务用车车辆购置支出（</w:t>
      </w:r>
      <w:proofErr w:type="gramStart"/>
      <w:r w:rsidR="00921652" w:rsidRPr="00645FC7">
        <w:rPr>
          <w:rFonts w:ascii="华文仿宋" w:eastAsia="华文仿宋" w:hAnsi="华文仿宋" w:cs="仿宋_GB2312" w:hint="eastAsia"/>
          <w:color w:val="auto"/>
          <w:sz w:val="28"/>
          <w:szCs w:val="28"/>
        </w:rPr>
        <w:t>含车辆</w:t>
      </w:r>
      <w:proofErr w:type="gramEnd"/>
      <w:r w:rsidR="00921652" w:rsidRPr="00645FC7">
        <w:rPr>
          <w:rFonts w:ascii="华文仿宋" w:eastAsia="华文仿宋" w:hAnsi="华文仿宋" w:cs="仿宋_GB2312" w:hint="eastAsia"/>
          <w:color w:val="auto"/>
          <w:sz w:val="28"/>
          <w:szCs w:val="28"/>
        </w:rPr>
        <w:t>购置税）及租用费、燃料费、维修费、过路过桥费、保险费用等支出；公务接待</w:t>
      </w:r>
      <w:proofErr w:type="gramStart"/>
      <w:r w:rsidR="00921652" w:rsidRPr="00645FC7">
        <w:rPr>
          <w:rFonts w:ascii="华文仿宋" w:eastAsia="华文仿宋" w:hAnsi="华文仿宋" w:cs="仿宋_GB2312" w:hint="eastAsia"/>
          <w:color w:val="auto"/>
          <w:sz w:val="28"/>
          <w:szCs w:val="28"/>
        </w:rPr>
        <w:t>费反映</w:t>
      </w:r>
      <w:proofErr w:type="gramEnd"/>
      <w:r w:rsidR="00921652" w:rsidRPr="00645FC7">
        <w:rPr>
          <w:rFonts w:ascii="华文仿宋" w:eastAsia="华文仿宋" w:hAnsi="华文仿宋" w:cs="仿宋_GB2312" w:hint="eastAsia"/>
          <w:color w:val="auto"/>
          <w:sz w:val="28"/>
          <w:szCs w:val="28"/>
        </w:rPr>
        <w:t>单位按规定开支的各类公务接待（含外宾接待）支出。</w:t>
      </w:r>
    </w:p>
    <w:p w:rsidR="00921652" w:rsidRPr="00645FC7" w:rsidRDefault="00921652" w:rsidP="00645FC7">
      <w:pPr>
        <w:pStyle w:val="Default"/>
        <w:spacing w:line="580" w:lineRule="exact"/>
        <w:ind w:firstLineChars="200" w:firstLine="560"/>
        <w:jc w:val="both"/>
        <w:rPr>
          <w:rFonts w:ascii="华文仿宋" w:eastAsia="华文仿宋" w:hAnsi="华文仿宋" w:cs="仿宋_GB2312"/>
          <w:color w:val="auto"/>
          <w:sz w:val="28"/>
          <w:szCs w:val="28"/>
        </w:rPr>
      </w:pPr>
      <w:r w:rsidRPr="00645FC7">
        <w:rPr>
          <w:rFonts w:ascii="华文仿宋" w:eastAsia="华文仿宋" w:hAnsi="华文仿宋" w:cs="仿宋_GB2312" w:hint="eastAsia"/>
          <w:color w:val="auto"/>
          <w:sz w:val="28"/>
          <w:szCs w:val="28"/>
        </w:rPr>
        <w:t>1</w:t>
      </w:r>
      <w:r w:rsidR="001E7383" w:rsidRPr="00645FC7">
        <w:rPr>
          <w:rFonts w:ascii="华文仿宋" w:eastAsia="华文仿宋" w:hAnsi="华文仿宋" w:cs="仿宋_GB2312" w:hint="eastAsia"/>
          <w:color w:val="auto"/>
          <w:sz w:val="28"/>
          <w:szCs w:val="28"/>
        </w:rPr>
        <w:t>6</w:t>
      </w:r>
      <w:r w:rsidRPr="00645FC7">
        <w:rPr>
          <w:rFonts w:ascii="华文仿宋" w:eastAsia="华文仿宋" w:hAnsi="华文仿宋" w:cs="仿宋_GB2312" w:hint="eastAsia"/>
          <w:color w:val="auto"/>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21652" w:rsidRPr="00645FC7" w:rsidRDefault="00921652" w:rsidP="00645FC7">
      <w:pPr>
        <w:spacing w:line="360" w:lineRule="auto"/>
        <w:ind w:firstLineChars="200" w:firstLine="560"/>
        <w:rPr>
          <w:rFonts w:ascii="华文仿宋" w:eastAsia="华文仿宋" w:hAnsi="华文仿宋" w:cs="新宋体"/>
          <w:sz w:val="28"/>
          <w:szCs w:val="28"/>
        </w:rPr>
      </w:pPr>
    </w:p>
    <w:p w:rsidR="00921652" w:rsidRPr="00645FC7" w:rsidRDefault="00921652" w:rsidP="00645FC7">
      <w:pPr>
        <w:ind w:firstLineChars="200" w:firstLine="560"/>
        <w:rPr>
          <w:rFonts w:ascii="华文仿宋" w:eastAsia="华文仿宋" w:hAnsi="华文仿宋"/>
          <w:color w:val="000000"/>
          <w:sz w:val="28"/>
          <w:szCs w:val="28"/>
        </w:rPr>
      </w:pPr>
    </w:p>
    <w:sectPr w:rsidR="00921652" w:rsidRPr="00645FC7" w:rsidSect="0076182A">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E7" w:rsidRDefault="00067CE7" w:rsidP="00F1361C">
      <w:r>
        <w:separator/>
      </w:r>
    </w:p>
  </w:endnote>
  <w:endnote w:type="continuationSeparator" w:id="0">
    <w:p w:rsidR="00067CE7" w:rsidRDefault="00067CE7" w:rsidP="00F13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1" w:rsidRDefault="00456925">
    <w:pPr>
      <w:pStyle w:val="a4"/>
      <w:jc w:val="center"/>
    </w:pPr>
    <w:fldSimple w:instr=" PAGE   \* MERGEFORMAT ">
      <w:r w:rsidR="00874FD0" w:rsidRPr="00874FD0">
        <w:rPr>
          <w:noProof/>
          <w:lang w:val="zh-CN"/>
        </w:rPr>
        <w:t>2</w:t>
      </w:r>
    </w:fldSimple>
  </w:p>
  <w:p w:rsidR="00A13CC1" w:rsidRDefault="00A13C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E7" w:rsidRDefault="00067CE7" w:rsidP="00F1361C">
      <w:r>
        <w:separator/>
      </w:r>
    </w:p>
  </w:footnote>
  <w:footnote w:type="continuationSeparator" w:id="0">
    <w:p w:rsidR="00067CE7" w:rsidRDefault="00067CE7" w:rsidP="00F1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1" w:rsidRDefault="00A13CC1" w:rsidP="002616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6487A"/>
    <w:rsid w:val="00067CE7"/>
    <w:rsid w:val="00095B10"/>
    <w:rsid w:val="000B047F"/>
    <w:rsid w:val="000B5A48"/>
    <w:rsid w:val="000C3CA6"/>
    <w:rsid w:val="000D1048"/>
    <w:rsid w:val="000D3EAD"/>
    <w:rsid w:val="000D5782"/>
    <w:rsid w:val="0014729F"/>
    <w:rsid w:val="001877A7"/>
    <w:rsid w:val="00191536"/>
    <w:rsid w:val="00196687"/>
    <w:rsid w:val="001E737D"/>
    <w:rsid w:val="001E7383"/>
    <w:rsid w:val="001F592C"/>
    <w:rsid w:val="001F7506"/>
    <w:rsid w:val="00202B36"/>
    <w:rsid w:val="00235629"/>
    <w:rsid w:val="00260C38"/>
    <w:rsid w:val="002616C0"/>
    <w:rsid w:val="002662AA"/>
    <w:rsid w:val="00275818"/>
    <w:rsid w:val="002C22D2"/>
    <w:rsid w:val="0037013F"/>
    <w:rsid w:val="00377FB8"/>
    <w:rsid w:val="003901CC"/>
    <w:rsid w:val="003A484F"/>
    <w:rsid w:val="003B0C1B"/>
    <w:rsid w:val="003C0291"/>
    <w:rsid w:val="003D4DF7"/>
    <w:rsid w:val="00410653"/>
    <w:rsid w:val="004114F9"/>
    <w:rsid w:val="00443880"/>
    <w:rsid w:val="00456925"/>
    <w:rsid w:val="00487E5D"/>
    <w:rsid w:val="004B4690"/>
    <w:rsid w:val="004C5EE7"/>
    <w:rsid w:val="004E206B"/>
    <w:rsid w:val="00505A47"/>
    <w:rsid w:val="00510812"/>
    <w:rsid w:val="00512FDA"/>
    <w:rsid w:val="00522DA5"/>
    <w:rsid w:val="005664BB"/>
    <w:rsid w:val="0058486E"/>
    <w:rsid w:val="005D5CED"/>
    <w:rsid w:val="005E4C0C"/>
    <w:rsid w:val="00601306"/>
    <w:rsid w:val="00607E6C"/>
    <w:rsid w:val="006325F8"/>
    <w:rsid w:val="00645FC7"/>
    <w:rsid w:val="0066343B"/>
    <w:rsid w:val="00683E73"/>
    <w:rsid w:val="006E0D41"/>
    <w:rsid w:val="00702983"/>
    <w:rsid w:val="007044D7"/>
    <w:rsid w:val="00706384"/>
    <w:rsid w:val="0075404D"/>
    <w:rsid w:val="0076182A"/>
    <w:rsid w:val="007629C1"/>
    <w:rsid w:val="007676BC"/>
    <w:rsid w:val="00767B7E"/>
    <w:rsid w:val="007770C3"/>
    <w:rsid w:val="00786E4A"/>
    <w:rsid w:val="007F2C2F"/>
    <w:rsid w:val="00800112"/>
    <w:rsid w:val="00800BDD"/>
    <w:rsid w:val="00860645"/>
    <w:rsid w:val="00871F71"/>
    <w:rsid w:val="00874FD0"/>
    <w:rsid w:val="009178E1"/>
    <w:rsid w:val="00921652"/>
    <w:rsid w:val="0092392E"/>
    <w:rsid w:val="00946945"/>
    <w:rsid w:val="00951248"/>
    <w:rsid w:val="0095147E"/>
    <w:rsid w:val="0095152F"/>
    <w:rsid w:val="00971FFC"/>
    <w:rsid w:val="009B2C43"/>
    <w:rsid w:val="009B4EAE"/>
    <w:rsid w:val="009B7573"/>
    <w:rsid w:val="009D3447"/>
    <w:rsid w:val="00A12265"/>
    <w:rsid w:val="00A13CC1"/>
    <w:rsid w:val="00A307CD"/>
    <w:rsid w:val="00A40A00"/>
    <w:rsid w:val="00A44323"/>
    <w:rsid w:val="00A61ACF"/>
    <w:rsid w:val="00AC60A3"/>
    <w:rsid w:val="00AD5620"/>
    <w:rsid w:val="00AD7C1B"/>
    <w:rsid w:val="00B03C9D"/>
    <w:rsid w:val="00B10517"/>
    <w:rsid w:val="00B14E76"/>
    <w:rsid w:val="00B2048C"/>
    <w:rsid w:val="00B310B9"/>
    <w:rsid w:val="00B44B70"/>
    <w:rsid w:val="00B569E0"/>
    <w:rsid w:val="00B61CAC"/>
    <w:rsid w:val="00B77EA6"/>
    <w:rsid w:val="00B841F1"/>
    <w:rsid w:val="00BA5B00"/>
    <w:rsid w:val="00BA7F7E"/>
    <w:rsid w:val="00BC5460"/>
    <w:rsid w:val="00BD618D"/>
    <w:rsid w:val="00C03E31"/>
    <w:rsid w:val="00C354B2"/>
    <w:rsid w:val="00C35554"/>
    <w:rsid w:val="00C533CC"/>
    <w:rsid w:val="00C547E6"/>
    <w:rsid w:val="00C62B85"/>
    <w:rsid w:val="00C813CE"/>
    <w:rsid w:val="00CC09B6"/>
    <w:rsid w:val="00CD5628"/>
    <w:rsid w:val="00CE7B61"/>
    <w:rsid w:val="00CF6DE9"/>
    <w:rsid w:val="00D00095"/>
    <w:rsid w:val="00D04206"/>
    <w:rsid w:val="00D21EA8"/>
    <w:rsid w:val="00D51276"/>
    <w:rsid w:val="00D53702"/>
    <w:rsid w:val="00DB1913"/>
    <w:rsid w:val="00DC410D"/>
    <w:rsid w:val="00DC68CA"/>
    <w:rsid w:val="00E82267"/>
    <w:rsid w:val="00ED1B63"/>
    <w:rsid w:val="00ED4AC2"/>
    <w:rsid w:val="00EE2F57"/>
    <w:rsid w:val="00EF4C34"/>
    <w:rsid w:val="00F1361C"/>
    <w:rsid w:val="00F160C7"/>
    <w:rsid w:val="00F417B1"/>
    <w:rsid w:val="00F602DF"/>
    <w:rsid w:val="00F84EDF"/>
    <w:rsid w:val="00FE29FA"/>
    <w:rsid w:val="00FF1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C"/>
    <w:pPr>
      <w:widowControl w:val="0"/>
      <w:jc w:val="both"/>
    </w:pPr>
    <w:rPr>
      <w:rFonts w:ascii="Times New Roman" w:hAnsi="Times New Roman"/>
      <w:kern w:val="2"/>
      <w:sz w:val="21"/>
      <w:szCs w:val="24"/>
    </w:rPr>
  </w:style>
  <w:style w:type="paragraph" w:styleId="1">
    <w:name w:val="heading 1"/>
    <w:basedOn w:val="a"/>
    <w:next w:val="a"/>
    <w:link w:val="1Char"/>
    <w:qFormat/>
    <w:rsid w:val="00BA5B00"/>
    <w:pPr>
      <w:widowControl/>
      <w:spacing w:before="100" w:beforeAutospacing="1" w:after="100" w:afterAutospacing="1"/>
      <w:jc w:val="left"/>
      <w:outlineLvl w:val="0"/>
    </w:pPr>
    <w:rPr>
      <w:rFonts w:ascii="宋体" w:eastAsia="仿宋_GB2312"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61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rsid w:val="00F1361C"/>
    <w:rPr>
      <w:sz w:val="18"/>
      <w:szCs w:val="18"/>
    </w:rPr>
  </w:style>
  <w:style w:type="paragraph" w:styleId="a4">
    <w:name w:val="footer"/>
    <w:basedOn w:val="a"/>
    <w:link w:val="Char0"/>
    <w:uiPriority w:val="99"/>
    <w:unhideWhenUsed/>
    <w:rsid w:val="00F1361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F1361C"/>
    <w:rPr>
      <w:sz w:val="18"/>
      <w:szCs w:val="18"/>
    </w:rPr>
  </w:style>
  <w:style w:type="paragraph" w:styleId="a5">
    <w:name w:val="Body Text"/>
    <w:basedOn w:val="a"/>
    <w:link w:val="Char1"/>
    <w:rsid w:val="00F1361C"/>
    <w:pPr>
      <w:spacing w:beforeLines="30"/>
    </w:pPr>
    <w:rPr>
      <w:rFonts w:ascii="仿宋_GB2312" w:eastAsia="仿宋_GB2312"/>
      <w:kern w:val="0"/>
      <w:sz w:val="30"/>
    </w:rPr>
  </w:style>
  <w:style w:type="character" w:customStyle="1" w:styleId="Char1">
    <w:name w:val="正文文本 Char"/>
    <w:link w:val="a5"/>
    <w:rsid w:val="00F1361C"/>
    <w:rPr>
      <w:rFonts w:ascii="仿宋_GB2312" w:eastAsia="仿宋_GB2312" w:hAnsi="Times New Roman" w:cs="Times New Roman"/>
      <w:sz w:val="30"/>
      <w:szCs w:val="24"/>
    </w:rPr>
  </w:style>
  <w:style w:type="character" w:styleId="a6">
    <w:name w:val="Strong"/>
    <w:qFormat/>
    <w:rsid w:val="00F1361C"/>
    <w:rPr>
      <w:b/>
      <w:bCs/>
    </w:rPr>
  </w:style>
  <w:style w:type="paragraph" w:customStyle="1" w:styleId="Default">
    <w:name w:val="Default"/>
    <w:rsid w:val="00F1361C"/>
    <w:pPr>
      <w:widowControl w:val="0"/>
      <w:autoSpaceDE w:val="0"/>
      <w:autoSpaceDN w:val="0"/>
      <w:adjustRightInd w:val="0"/>
    </w:pPr>
    <w:rPr>
      <w:rFonts w:ascii="仿宋" w:eastAsia="仿宋" w:cs="仿宋"/>
      <w:color w:val="000000"/>
      <w:sz w:val="24"/>
      <w:szCs w:val="24"/>
    </w:rPr>
  </w:style>
  <w:style w:type="character" w:customStyle="1" w:styleId="1Char">
    <w:name w:val="标题 1 Char"/>
    <w:basedOn w:val="a0"/>
    <w:link w:val="1"/>
    <w:rsid w:val="00BA5B00"/>
    <w:rPr>
      <w:rFonts w:ascii="宋体" w:eastAsia="仿宋_GB2312" w:hAnsi="Times New Roman"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023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407\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407\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407\Desktop\&#26032;&#24314;%20Microsoft%20Office%20Excel%20&#24037;&#20316;&#3492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407\Desktop\&#26032;&#24314;%20Microsoft%20Office%20Excel%20&#24037;&#20316;&#34920;%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407\Desktop\&#26032;&#24314;%20Microsoft%20Office%20Excel%20&#24037;&#20316;&#34920;%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407\Desktop\&#26032;&#24314;%20Microsoft%20Office%20Excel%20&#24037;&#20316;&#34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Sheet1!$A$1</c:f>
              <c:strCache>
                <c:ptCount val="1"/>
                <c:pt idx="0">
                  <c:v>收入</c:v>
                </c:pt>
              </c:strCache>
            </c:strRef>
          </c:tx>
          <c:dLbls>
            <c:showPercent val="1"/>
            <c:showLeaderLines val="1"/>
          </c:dLbls>
          <c:cat>
            <c:strLit>
              <c:ptCount val="1"/>
              <c:pt idx="0">
                <c:v>财政拨款收入</c:v>
              </c:pt>
            </c:strLit>
          </c:cat>
          <c:val>
            <c:numRef>
              <c:f>Sheet1!$B$1</c:f>
              <c:numCache>
                <c:formatCode>0%</c:formatCode>
                <c:ptCount val="1"/>
                <c:pt idx="0">
                  <c:v>1</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支出</a:t>
            </a:r>
          </a:p>
        </c:rich>
      </c:tx>
    </c:title>
    <c:plotArea>
      <c:layout/>
      <c:pieChart>
        <c:varyColors val="1"/>
        <c:ser>
          <c:idx val="0"/>
          <c:order val="0"/>
          <c:dLbls>
            <c:dLbl>
              <c:idx val="0"/>
              <c:tx>
                <c:rich>
                  <a:bodyPr/>
                  <a:lstStyle/>
                  <a:p>
                    <a:r>
                      <a:rPr lang="en-US" altLang="en-US"/>
                      <a:t>89.52%</a:t>
                    </a:r>
                  </a:p>
                </c:rich>
              </c:tx>
              <c:showPercent val="1"/>
            </c:dLbl>
            <c:dLbl>
              <c:idx val="1"/>
              <c:tx>
                <c:rich>
                  <a:bodyPr/>
                  <a:lstStyle/>
                  <a:p>
                    <a:r>
                      <a:rPr lang="en-US" altLang="en-US"/>
                      <a:t>0.3%</a:t>
                    </a:r>
                  </a:p>
                </c:rich>
              </c:tx>
              <c:showPercent val="1"/>
            </c:dLbl>
            <c:dLbl>
              <c:idx val="2"/>
              <c:tx>
                <c:rich>
                  <a:bodyPr/>
                  <a:lstStyle/>
                  <a:p>
                    <a:r>
                      <a:rPr lang="en-US" altLang="en-US"/>
                      <a:t>8.91%</a:t>
                    </a:r>
                  </a:p>
                </c:rich>
              </c:tx>
              <c:showPercent val="1"/>
            </c:dLbl>
            <c:dLbl>
              <c:idx val="3"/>
              <c:tx>
                <c:rich>
                  <a:bodyPr/>
                  <a:lstStyle/>
                  <a:p>
                    <a:r>
                      <a:rPr lang="en-US" altLang="en-US"/>
                      <a:t>1.27%</a:t>
                    </a:r>
                  </a:p>
                </c:rich>
              </c:tx>
              <c:showPercent val="1"/>
            </c:dLbl>
            <c:showPercent val="1"/>
            <c:showLeaderLines val="1"/>
          </c:dLbls>
          <c:cat>
            <c:strRef>
              <c:f>Sheet1!$A$1:$A$4</c:f>
              <c:strCache>
                <c:ptCount val="4"/>
                <c:pt idx="0">
                  <c:v>公共安全支出</c:v>
                </c:pt>
                <c:pt idx="1">
                  <c:v>教育支出</c:v>
                </c:pt>
                <c:pt idx="2">
                  <c:v>社会保障和就业支出</c:v>
                </c:pt>
                <c:pt idx="3">
                  <c:v>医疗卫生和计划生育支出</c:v>
                </c:pt>
              </c:strCache>
            </c:strRef>
          </c:cat>
          <c:val>
            <c:numRef>
              <c:f>Sheet1!$B$1:$B$4</c:f>
              <c:numCache>
                <c:formatCode>0.00%</c:formatCode>
                <c:ptCount val="4"/>
                <c:pt idx="0">
                  <c:v>0.8952</c:v>
                </c:pt>
                <c:pt idx="1">
                  <c:v>3.0000000000000044E-3</c:v>
                </c:pt>
                <c:pt idx="2">
                  <c:v>8.910000000000004E-2</c:v>
                </c:pt>
                <c:pt idx="3">
                  <c:v>1.2699999999999998E-2</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财政拨款收支决算总计</a:t>
            </a:r>
          </a:p>
        </c:rich>
      </c:tx>
    </c:title>
    <c:plotArea>
      <c:layout/>
      <c:barChart>
        <c:barDir val="col"/>
        <c:grouping val="clustered"/>
        <c:ser>
          <c:idx val="0"/>
          <c:order val="0"/>
          <c:cat>
            <c:strRef>
              <c:f>Sheet1!$A$1:$A$2</c:f>
              <c:strCache>
                <c:ptCount val="2"/>
                <c:pt idx="0">
                  <c:v>2016年</c:v>
                </c:pt>
                <c:pt idx="1">
                  <c:v>2017年</c:v>
                </c:pt>
              </c:strCache>
            </c:strRef>
          </c:cat>
          <c:val>
            <c:numRef>
              <c:f>Sheet1!$B$1:$B$2</c:f>
              <c:numCache>
                <c:formatCode>General</c:formatCode>
                <c:ptCount val="2"/>
                <c:pt idx="0">
                  <c:v>3216.66</c:v>
                </c:pt>
                <c:pt idx="1">
                  <c:v>3180.9300000000012</c:v>
                </c:pt>
              </c:numCache>
            </c:numRef>
          </c:val>
        </c:ser>
        <c:gapWidth val="75"/>
        <c:overlap val="-25"/>
        <c:axId val="202341376"/>
        <c:axId val="257553152"/>
      </c:barChart>
      <c:catAx>
        <c:axId val="202341376"/>
        <c:scaling>
          <c:orientation val="minMax"/>
        </c:scaling>
        <c:axPos val="b"/>
        <c:majorTickMark val="none"/>
        <c:tickLblPos val="nextTo"/>
        <c:crossAx val="257553152"/>
        <c:crosses val="autoZero"/>
        <c:auto val="1"/>
        <c:lblAlgn val="ctr"/>
        <c:lblOffset val="100"/>
      </c:catAx>
      <c:valAx>
        <c:axId val="257553152"/>
        <c:scaling>
          <c:orientation val="minMax"/>
          <c:max val="4000"/>
          <c:min val="0"/>
        </c:scaling>
        <c:axPos val="l"/>
        <c:majorGridlines/>
        <c:numFmt formatCode="General" sourceLinked="1"/>
        <c:majorTickMark val="none"/>
        <c:tickLblPos val="nextTo"/>
        <c:crossAx val="202341376"/>
        <c:crosses val="autoZero"/>
        <c:crossBetween val="between"/>
        <c:majorUnit val="1000"/>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一般公共预算财政拨款支出</a:t>
            </a:r>
          </a:p>
        </c:rich>
      </c:tx>
    </c:title>
    <c:plotArea>
      <c:layout/>
      <c:barChart>
        <c:barDir val="col"/>
        <c:grouping val="clustered"/>
        <c:ser>
          <c:idx val="0"/>
          <c:order val="0"/>
          <c:tx>
            <c:v>一般公共预算财政拨款支出</c:v>
          </c:tx>
          <c:cat>
            <c:strRef>
              <c:f>Sheet1!$A$1:$A$2</c:f>
              <c:strCache>
                <c:ptCount val="2"/>
                <c:pt idx="0">
                  <c:v>2016年</c:v>
                </c:pt>
                <c:pt idx="1">
                  <c:v>2017年</c:v>
                </c:pt>
              </c:strCache>
            </c:strRef>
          </c:cat>
          <c:val>
            <c:numRef>
              <c:f>Sheet1!$B$1:$B$2</c:f>
              <c:numCache>
                <c:formatCode>General</c:formatCode>
                <c:ptCount val="2"/>
                <c:pt idx="0">
                  <c:v>2493.64</c:v>
                </c:pt>
                <c:pt idx="1">
                  <c:v>2709.1</c:v>
                </c:pt>
              </c:numCache>
            </c:numRef>
          </c:val>
        </c:ser>
        <c:axId val="138616192"/>
        <c:axId val="138617984"/>
      </c:barChart>
      <c:catAx>
        <c:axId val="138616192"/>
        <c:scaling>
          <c:orientation val="minMax"/>
        </c:scaling>
        <c:axPos val="b"/>
        <c:majorTickMark val="none"/>
        <c:tickLblPos val="nextTo"/>
        <c:crossAx val="138617984"/>
        <c:crosses val="autoZero"/>
        <c:auto val="1"/>
        <c:lblAlgn val="ctr"/>
        <c:lblOffset val="100"/>
      </c:catAx>
      <c:valAx>
        <c:axId val="138617984"/>
        <c:scaling>
          <c:orientation val="minMax"/>
          <c:max val="2800"/>
          <c:min val="2000"/>
        </c:scaling>
        <c:axPos val="l"/>
        <c:majorGridlines/>
        <c:numFmt formatCode="General" sourceLinked="1"/>
        <c:majorTickMark val="none"/>
        <c:tickLblPos val="nextTo"/>
        <c:crossAx val="1386161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一般公共预算财政拨款支出</a:t>
            </a:r>
          </a:p>
        </c:rich>
      </c:tx>
    </c:title>
    <c:plotArea>
      <c:layout/>
      <c:pieChart>
        <c:varyColors val="1"/>
        <c:ser>
          <c:idx val="0"/>
          <c:order val="0"/>
          <c:dLbls>
            <c:dLbl>
              <c:idx val="0"/>
              <c:tx>
                <c:rich>
                  <a:bodyPr/>
                  <a:lstStyle/>
                  <a:p>
                    <a:r>
                      <a:rPr lang="en-US" altLang="en-US"/>
                      <a:t>89.52%</a:t>
                    </a:r>
                    <a:endParaRPr lang="en-US" altLang="zh-CN"/>
                  </a:p>
                </c:rich>
              </c:tx>
              <c:showPercent val="1"/>
            </c:dLbl>
            <c:dLbl>
              <c:idx val="1"/>
              <c:tx>
                <c:rich>
                  <a:bodyPr/>
                  <a:lstStyle/>
                  <a:p>
                    <a:r>
                      <a:rPr lang="en-US" altLang="en-US"/>
                      <a:t>0.3%</a:t>
                    </a:r>
                    <a:endParaRPr lang="en-US" altLang="zh-CN"/>
                  </a:p>
                </c:rich>
              </c:tx>
              <c:showPercent val="1"/>
            </c:dLbl>
            <c:dLbl>
              <c:idx val="2"/>
              <c:tx>
                <c:rich>
                  <a:bodyPr/>
                  <a:lstStyle/>
                  <a:p>
                    <a:r>
                      <a:rPr lang="en-US" altLang="en-US"/>
                      <a:t>8.91%</a:t>
                    </a:r>
                    <a:endParaRPr lang="en-US" altLang="zh-CN"/>
                  </a:p>
                </c:rich>
              </c:tx>
              <c:showPercent val="1"/>
            </c:dLbl>
            <c:dLbl>
              <c:idx val="3"/>
              <c:tx>
                <c:rich>
                  <a:bodyPr/>
                  <a:lstStyle/>
                  <a:p>
                    <a:r>
                      <a:rPr lang="en-US" altLang="en-US"/>
                      <a:t>1.27%</a:t>
                    </a:r>
                    <a:endParaRPr lang="en-US" altLang="zh-CN"/>
                  </a:p>
                </c:rich>
              </c:tx>
              <c:showPercent val="1"/>
            </c:dLbl>
            <c:showPercent val="1"/>
            <c:showLeaderLines val="1"/>
          </c:dLbls>
          <c:cat>
            <c:strRef>
              <c:f>Sheet1!$A$1:$A$4</c:f>
              <c:strCache>
                <c:ptCount val="4"/>
                <c:pt idx="0">
                  <c:v>公共安全支出</c:v>
                </c:pt>
                <c:pt idx="1">
                  <c:v>教育支出</c:v>
                </c:pt>
                <c:pt idx="2">
                  <c:v>社会保障和就业支出</c:v>
                </c:pt>
                <c:pt idx="3">
                  <c:v>医疗卫生和计划生育支出</c:v>
                </c:pt>
              </c:strCache>
            </c:strRef>
          </c:cat>
          <c:val>
            <c:numRef>
              <c:f>Sheet1!$B$1:$B$4</c:f>
              <c:numCache>
                <c:formatCode>0.00%</c:formatCode>
                <c:ptCount val="4"/>
                <c:pt idx="0">
                  <c:v>0.8952</c:v>
                </c:pt>
                <c:pt idx="1">
                  <c:v>3.0000000000000044E-3</c:v>
                </c:pt>
                <c:pt idx="2">
                  <c:v>8.910000000000004E-2</c:v>
                </c:pt>
                <c:pt idx="3">
                  <c:v>1.2699999999999998E-2</c:v>
                </c:pt>
              </c:numCache>
            </c:numRef>
          </c:val>
        </c:ser>
        <c:dLbls>
          <c:showPercent val="1"/>
        </c:dLbls>
        <c:firstSliceAng val="0"/>
      </c:pie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三公经费财政拨款支出</a:t>
            </a:r>
          </a:p>
        </c:rich>
      </c:tx>
    </c:title>
    <c:plotArea>
      <c:layout/>
      <c:pieChart>
        <c:varyColors val="1"/>
        <c:ser>
          <c:idx val="0"/>
          <c:order val="0"/>
          <c:dLbls>
            <c:showCatName val="1"/>
            <c:showPercent val="1"/>
            <c:showLeaderLines val="1"/>
          </c:dLbls>
          <c:cat>
            <c:strRef>
              <c:f>Sheet1!$A$1:$A$2</c:f>
              <c:strCache>
                <c:ptCount val="2"/>
                <c:pt idx="0">
                  <c:v>公务用车购置及运行维护费</c:v>
                </c:pt>
                <c:pt idx="1">
                  <c:v>公务接待费</c:v>
                </c:pt>
              </c:strCache>
            </c:strRef>
          </c:cat>
          <c:val>
            <c:numRef>
              <c:f>Sheet1!$B$1:$B$2</c:f>
              <c:numCache>
                <c:formatCode>0.00%</c:formatCode>
                <c:ptCount val="2"/>
                <c:pt idx="0">
                  <c:v>0.92</c:v>
                </c:pt>
                <c:pt idx="1">
                  <c:v>8.0000000000000043E-2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D089-8385-4A4C-AC7B-53D7610E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693</Words>
  <Characters>3951</Characters>
  <Application>Microsoft Office Word</Application>
  <DocSecurity>0</DocSecurity>
  <Lines>32</Lines>
  <Paragraphs>9</Paragraphs>
  <ScaleCrop>false</ScaleCrop>
  <Company>四川省财政厅</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张彬茜</dc:creator>
  <cp:lastModifiedBy>Windows 用户</cp:lastModifiedBy>
  <cp:revision>6</cp:revision>
  <cp:lastPrinted>2018-07-30T03:50:00Z</cp:lastPrinted>
  <dcterms:created xsi:type="dcterms:W3CDTF">2018-09-27T08:14:00Z</dcterms:created>
  <dcterms:modified xsi:type="dcterms:W3CDTF">2019-03-15T08:16:00Z</dcterms:modified>
</cp:coreProperties>
</file>