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eastAsia" w:ascii="仿宋_GB2312" w:hAnsi="新宋体" w:eastAsia="仿宋_GB2312" w:cs="新宋体"/>
          <w:sz w:val="30"/>
          <w:szCs w:val="30"/>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eastAsia" w:ascii="方正小标宋简体" w:hAnsi="新宋体" w:eastAsia="方正小标宋简体" w:cs="新宋体"/>
          <w:sz w:val="44"/>
          <w:szCs w:val="44"/>
          <w:lang w:eastAsia="zh-CN"/>
        </w:rPr>
      </w:pPr>
      <w:r>
        <w:rPr>
          <w:rFonts w:hint="eastAsia" w:ascii="方正小标宋简体" w:hAnsi="新宋体" w:eastAsia="方正小标宋简体" w:cs="新宋体"/>
          <w:sz w:val="44"/>
          <w:szCs w:val="44"/>
          <w:lang w:eastAsia="zh-CN"/>
        </w:rPr>
        <w:t>中共</w:t>
      </w:r>
      <w:r>
        <w:rPr>
          <w:rFonts w:hint="eastAsia" w:ascii="方正小标宋简体" w:hAnsi="新宋体" w:eastAsia="方正小标宋简体" w:cs="新宋体"/>
          <w:sz w:val="44"/>
          <w:szCs w:val="44"/>
        </w:rPr>
        <w:t>江油市</w:t>
      </w:r>
      <w:r>
        <w:rPr>
          <w:rFonts w:hint="eastAsia" w:ascii="方正小标宋简体" w:hAnsi="新宋体" w:eastAsia="方正小标宋简体" w:cs="新宋体"/>
          <w:sz w:val="44"/>
          <w:szCs w:val="44"/>
          <w:lang w:eastAsia="zh-CN"/>
        </w:rPr>
        <w:t>委宣传部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201</w:t>
      </w:r>
      <w:r>
        <w:rPr>
          <w:rFonts w:hint="eastAsia" w:ascii="方正小标宋简体" w:hAnsi="新宋体" w:eastAsia="方正小标宋简体" w:cs="新宋体"/>
          <w:sz w:val="44"/>
          <w:szCs w:val="44"/>
          <w:lang w:val="en-US" w:eastAsia="zh-CN"/>
        </w:rPr>
        <w:t>7</w:t>
      </w:r>
      <w:r>
        <w:rPr>
          <w:rFonts w:hint="eastAsia" w:ascii="方正小标宋简体" w:hAnsi="新宋体" w:eastAsia="方正小标宋简体" w:cs="新宋体"/>
          <w:sz w:val="44"/>
          <w:szCs w:val="44"/>
        </w:rPr>
        <w:t>年部门预算编制的说明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ascii="新宋体" w:hAnsi="新宋体" w:eastAsia="新宋体" w:cs="新宋体"/>
          <w:sz w:val="2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ascii="黑体" w:hAnsi="黑体" w:eastAsia="黑体" w:cs="新宋体"/>
          <w:sz w:val="32"/>
          <w:szCs w:val="32"/>
        </w:rPr>
      </w:pPr>
      <w:r>
        <w:rPr>
          <w:rFonts w:hint="eastAsia" w:ascii="黑体" w:hAnsi="黑体" w:eastAsia="黑体" w:cs="新宋体"/>
          <w:sz w:val="32"/>
          <w:szCs w:val="32"/>
        </w:rPr>
        <w:t>一、基本情况</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（一）机构设置和主要职责</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新宋体" w:eastAsia="仿宋_GB2312"/>
          <w:sz w:val="32"/>
          <w:szCs w:val="32"/>
        </w:rPr>
      </w:pP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江油市委宣传部是行政单位，主要负责承担全市意识形态工作、思想政治工作、精神文明建设工作。负责全市新闻宣传、理论社科、文化建设、对外宣传、文化艺术等工作。</w:t>
      </w:r>
      <w:r>
        <w:rPr>
          <w:rFonts w:hint="eastAsia" w:ascii="仿宋_GB2312" w:eastAsia="仿宋_GB2312"/>
          <w:sz w:val="32"/>
          <w:szCs w:val="32"/>
        </w:rPr>
        <w:t>机关内部机构设置</w:t>
      </w:r>
      <w:r>
        <w:rPr>
          <w:rFonts w:hint="eastAsia" w:ascii="仿宋_GB2312" w:eastAsia="仿宋_GB2312"/>
          <w:sz w:val="32"/>
          <w:szCs w:val="32"/>
          <w:lang w:val="en-US" w:eastAsia="zh-CN"/>
        </w:rPr>
        <w:t>5</w:t>
      </w:r>
      <w:r>
        <w:rPr>
          <w:rFonts w:hint="eastAsia" w:ascii="仿宋_GB2312" w:eastAsia="仿宋_GB2312"/>
          <w:sz w:val="32"/>
          <w:szCs w:val="32"/>
        </w:rPr>
        <w:t>个股室。分别是办公室、干部股、新闻股、理论股</w:t>
      </w:r>
      <w:r>
        <w:rPr>
          <w:rFonts w:hint="eastAsia" w:ascii="仿宋_GB2312" w:eastAsia="仿宋_GB2312"/>
          <w:sz w:val="32"/>
          <w:szCs w:val="32"/>
          <w:lang w:eastAsia="zh-CN"/>
        </w:rPr>
        <w:t>、未成办</w:t>
      </w:r>
      <w:r>
        <w:rPr>
          <w:rFonts w:hint="eastAsia" w:ascii="仿宋_GB2312" w:hAnsi="新宋体" w:eastAsia="仿宋_GB2312"/>
          <w:sz w:val="32"/>
          <w:szCs w:val="32"/>
        </w:rPr>
        <w:t>，7个挂牌机构外宣办（新闻办）、文明办</w:t>
      </w:r>
      <w:r>
        <w:rPr>
          <w:rFonts w:hint="eastAsia" w:ascii="仿宋_GB2312" w:eastAsia="仿宋_GB2312"/>
          <w:sz w:val="32"/>
          <w:szCs w:val="32"/>
        </w:rPr>
        <w:t>、文联、</w:t>
      </w:r>
      <w:r>
        <w:rPr>
          <w:rFonts w:hint="eastAsia" w:ascii="仿宋_GB2312" w:hAnsi="新宋体" w:eastAsia="仿宋_GB2312"/>
          <w:sz w:val="32"/>
          <w:szCs w:val="32"/>
        </w:rPr>
        <w:t>社科联（参公）</w:t>
      </w:r>
      <w:r>
        <w:rPr>
          <w:rFonts w:hint="eastAsia" w:ascii="仿宋_GB2312" w:eastAsia="仿宋_GB2312"/>
          <w:sz w:val="32"/>
          <w:szCs w:val="32"/>
        </w:rPr>
        <w:t>、</w:t>
      </w:r>
      <w:r>
        <w:rPr>
          <w:rFonts w:hint="eastAsia" w:ascii="仿宋_GB2312" w:hAnsi="新宋体" w:eastAsia="仿宋_GB2312"/>
          <w:sz w:val="32"/>
          <w:szCs w:val="32"/>
        </w:rPr>
        <w:t>新闻宣传中心、创建办（志愿服务中心）、网信办。</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（二）人员情况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单位行政编制为21人（工勤1人），在职1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人，工勤1人；参公编制8人，在职8人；事业编制32人，在职</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人。行政退休4人。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ascii="黑体" w:hAnsi="黑体" w:eastAsia="黑体" w:cs="新宋体"/>
          <w:sz w:val="32"/>
          <w:szCs w:val="32"/>
        </w:rPr>
      </w:pPr>
      <w:r>
        <w:rPr>
          <w:rFonts w:hint="eastAsia" w:ascii="黑体" w:hAnsi="黑体" w:eastAsia="黑体" w:cs="新宋体"/>
          <w:sz w:val="32"/>
          <w:szCs w:val="32"/>
        </w:rPr>
        <w:t>二、财政拨款收支预算情况</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新宋体" w:eastAsia="仿宋_GB2312" w:cs="新宋体"/>
          <w:sz w:val="32"/>
          <w:szCs w:val="32"/>
        </w:rPr>
        <w:t>201</w:t>
      </w:r>
      <w:r>
        <w:rPr>
          <w:rFonts w:hint="eastAsia" w:ascii="仿宋_GB2312" w:hAnsi="新宋体" w:eastAsia="仿宋_GB2312" w:cs="新宋体"/>
          <w:sz w:val="32"/>
          <w:szCs w:val="32"/>
          <w:lang w:val="en-US" w:eastAsia="zh-CN"/>
        </w:rPr>
        <w:t>7</w:t>
      </w:r>
      <w:r>
        <w:rPr>
          <w:rFonts w:hint="eastAsia" w:ascii="仿宋_GB2312" w:hAnsi="新宋体" w:eastAsia="仿宋_GB2312" w:cs="新宋体"/>
          <w:sz w:val="32"/>
          <w:szCs w:val="32"/>
        </w:rPr>
        <w:t>年</w:t>
      </w:r>
      <w:r>
        <w:rPr>
          <w:rFonts w:hint="eastAsia" w:ascii="仿宋_GB2312" w:hAnsi="仿宋_GB2312" w:eastAsia="仿宋_GB2312" w:cs="仿宋_GB2312"/>
          <w:sz w:val="32"/>
          <w:szCs w:val="32"/>
        </w:rPr>
        <w:t>江油市委宣传部财政拨款收入778.3万元。</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江油市委宣传部财政拨款支出778.3万元，主要用于保障该部门机构正常运转、完成日常工作任务以及承担全市</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事业发展相关工作。</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基本支出，是用于保障</w:t>
      </w:r>
      <w:r>
        <w:rPr>
          <w:rFonts w:hint="eastAsia" w:ascii="仿宋_GB2312" w:hAnsi="仿宋_GB2312" w:eastAsia="仿宋_GB2312" w:cs="仿宋_GB2312"/>
          <w:sz w:val="32"/>
          <w:szCs w:val="32"/>
          <w:lang w:eastAsia="zh-CN"/>
        </w:rPr>
        <w:t>宣传部及</w:t>
      </w:r>
      <w:r>
        <w:rPr>
          <w:rFonts w:hint="eastAsia" w:ascii="仿宋_GB2312" w:hAnsi="仿宋_GB2312" w:eastAsia="仿宋_GB2312" w:cs="仿宋_GB2312"/>
          <w:sz w:val="32"/>
          <w:szCs w:val="32"/>
        </w:rPr>
        <w:t>下属事业单位等机构正常运转的日常支出，包括基本工资、津贴补贴等人员经费以及办公费、印刷费、水电费、办公设备购置等日常公用经费。其中，人员支出</w:t>
      </w:r>
      <w:r>
        <w:rPr>
          <w:rFonts w:hint="eastAsia" w:ascii="仿宋_GB2312" w:hAnsi="仿宋_GB2312" w:eastAsia="仿宋_GB2312" w:cs="仿宋_GB2312"/>
          <w:sz w:val="32"/>
          <w:szCs w:val="32"/>
          <w:lang w:val="en-US" w:eastAsia="zh-CN"/>
        </w:rPr>
        <w:t>288.51</w:t>
      </w:r>
      <w:r>
        <w:rPr>
          <w:rFonts w:hint="eastAsia" w:ascii="仿宋_GB2312" w:hAnsi="仿宋_GB2312" w:eastAsia="仿宋_GB2312" w:cs="仿宋_GB2312"/>
          <w:sz w:val="32"/>
          <w:szCs w:val="32"/>
        </w:rPr>
        <w:t>万元，日常公用支出</w:t>
      </w:r>
      <w:r>
        <w:rPr>
          <w:rFonts w:hint="eastAsia" w:ascii="仿宋_GB2312" w:hAnsi="仿宋_GB2312" w:eastAsia="仿宋_GB2312" w:cs="仿宋_GB2312"/>
          <w:sz w:val="32"/>
          <w:szCs w:val="32"/>
          <w:lang w:val="en-US" w:eastAsia="zh-CN"/>
        </w:rPr>
        <w:t>382.89</w:t>
      </w:r>
      <w:r>
        <w:rPr>
          <w:rFonts w:hint="eastAsia" w:ascii="仿宋_GB2312" w:hAnsi="仿宋_GB2312" w:eastAsia="仿宋_GB2312" w:cs="仿宋_GB2312"/>
          <w:sz w:val="32"/>
          <w:szCs w:val="32"/>
        </w:rPr>
        <w:t>万元，对个人和家庭的补助支出</w:t>
      </w:r>
      <w:r>
        <w:rPr>
          <w:rFonts w:hint="eastAsia" w:ascii="仿宋_GB2312" w:hAnsi="仿宋_GB2312" w:eastAsia="仿宋_GB2312" w:cs="仿宋_GB2312"/>
          <w:sz w:val="32"/>
          <w:szCs w:val="32"/>
          <w:lang w:val="en-US" w:eastAsia="zh-CN"/>
        </w:rPr>
        <w:t>104.9</w:t>
      </w:r>
      <w:r>
        <w:rPr>
          <w:rFonts w:hint="eastAsia" w:ascii="仿宋_GB2312" w:hAnsi="仿宋_GB2312" w:eastAsia="仿宋_GB2312" w:cs="仿宋_GB2312"/>
          <w:sz w:val="32"/>
          <w:szCs w:val="32"/>
        </w:rPr>
        <w:t>万元。</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项目支出，是用于保障</w:t>
      </w:r>
      <w:r>
        <w:rPr>
          <w:rFonts w:hint="eastAsia" w:ascii="仿宋_GB2312" w:hAnsi="仿宋_GB2312" w:eastAsia="仿宋_GB2312" w:cs="仿宋_GB2312"/>
          <w:sz w:val="32"/>
          <w:szCs w:val="32"/>
          <w:lang w:eastAsia="zh-CN"/>
        </w:rPr>
        <w:t>宣传部及</w:t>
      </w:r>
      <w:r>
        <w:rPr>
          <w:rFonts w:hint="eastAsia" w:ascii="仿宋_GB2312" w:hAnsi="仿宋_GB2312" w:eastAsia="仿宋_GB2312" w:cs="仿宋_GB2312"/>
          <w:sz w:val="32"/>
          <w:szCs w:val="32"/>
        </w:rPr>
        <w:t>下属事业单位等机构为完成特定的行政工作任务或事业发展目标，用于专项业务工作的经费支出。</w:t>
      </w:r>
      <w:r>
        <w:rPr>
          <w:rFonts w:hint="eastAsia" w:ascii="仿宋_GB2312" w:hAnsi="仿宋_GB2312" w:eastAsia="仿宋_GB2312" w:cs="仿宋_GB2312"/>
          <w:sz w:val="32"/>
          <w:szCs w:val="32"/>
          <w:lang w:eastAsia="zh-CN"/>
        </w:rPr>
        <w:t>其中包括党建经费、纪检宣传教育经费等</w:t>
      </w:r>
      <w:r>
        <w:rPr>
          <w:rFonts w:hint="eastAsia" w:ascii="仿宋_GB2312" w:hAnsi="仿宋_GB2312" w:eastAsia="仿宋_GB2312" w:cs="仿宋_GB2312"/>
          <w:sz w:val="32"/>
          <w:szCs w:val="32"/>
          <w:lang w:val="en-US" w:eastAsia="zh-CN"/>
        </w:rPr>
        <w:t>13个项目经费，共计331万元。</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江油市委宣传部201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年部门预算财政拨款支出按支出功能分类主要用于以下方面:（罗列本部门类级全部功能分类）</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（一）一般公共服务支出</w:t>
      </w:r>
      <w:r>
        <w:rPr>
          <w:rFonts w:hint="eastAsia" w:ascii="仿宋_GB2312" w:hAnsi="仿宋_GB2312" w:eastAsia="仿宋_GB2312" w:cs="仿宋_GB2312"/>
          <w:sz w:val="32"/>
          <w:szCs w:val="32"/>
          <w:lang w:val="en-US" w:eastAsia="zh-CN"/>
        </w:rPr>
        <w:t>684.3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人员基本工资、津贴补贴、办公费等办公日常支出</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（二）教育支出</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职工业务技能培训</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（三）社会保障和就业支出</w:t>
      </w:r>
      <w:r>
        <w:rPr>
          <w:rFonts w:hint="eastAsia" w:ascii="仿宋_GB2312" w:hAnsi="仿宋_GB2312" w:eastAsia="仿宋_GB2312" w:cs="仿宋_GB2312"/>
          <w:sz w:val="32"/>
          <w:szCs w:val="32"/>
          <w:lang w:val="en-US" w:eastAsia="zh-CN"/>
        </w:rPr>
        <w:t>51.16</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职工养老、工伤、生育、失业保险的购买</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（四）医疗卫生支出</w:t>
      </w:r>
      <w:r>
        <w:rPr>
          <w:rFonts w:hint="eastAsia" w:ascii="仿宋_GB2312" w:hAnsi="仿宋_GB2312" w:eastAsia="仿宋_GB2312" w:cs="仿宋_GB2312"/>
          <w:sz w:val="32"/>
          <w:szCs w:val="32"/>
          <w:lang w:val="en-US" w:eastAsia="zh-CN"/>
        </w:rPr>
        <w:t>13.92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职工医疗保险的购买</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（五）住房保障支出</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职工住房公积金</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三、当年财政拨款规模变化情况</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2017年中共江油市委办公室财政拨款</w:t>
      </w:r>
      <w:r>
        <w:rPr>
          <w:rFonts w:hint="eastAsia" w:ascii="仿宋_GB2312" w:hAnsi="仿宋_GB2312" w:eastAsia="仿宋_GB2312" w:cs="仿宋_GB2312"/>
          <w:sz w:val="32"/>
          <w:szCs w:val="32"/>
          <w:lang w:val="en-US" w:eastAsia="zh-CN"/>
        </w:rPr>
        <w:t>778.3</w:t>
      </w:r>
      <w:r>
        <w:rPr>
          <w:rFonts w:hint="eastAsia" w:ascii="仿宋_GB2312" w:hAnsi="仿宋_GB2312" w:eastAsia="仿宋_GB2312" w:cs="仿宋_GB2312"/>
          <w:sz w:val="32"/>
          <w:szCs w:val="32"/>
        </w:rPr>
        <w:t>万元，比2016年预算增加</w:t>
      </w:r>
      <w:r>
        <w:rPr>
          <w:rFonts w:hint="eastAsia" w:ascii="仿宋_GB2312" w:hAnsi="仿宋_GB2312" w:eastAsia="仿宋_GB2312" w:cs="仿宋_GB2312"/>
          <w:sz w:val="32"/>
          <w:szCs w:val="32"/>
          <w:lang w:val="en-US" w:eastAsia="zh-CN"/>
        </w:rPr>
        <w:t>107.8</w:t>
      </w:r>
      <w:r>
        <w:rPr>
          <w:rFonts w:hint="eastAsia" w:ascii="仿宋_GB2312" w:hAnsi="仿宋_GB2312" w:eastAsia="仿宋_GB2312" w:cs="仿宋_GB2312"/>
          <w:sz w:val="32"/>
          <w:szCs w:val="32"/>
        </w:rPr>
        <w:t>万元。主要是部门实施养老保险制度后，增加养老保险和职业年金支出</w:t>
      </w:r>
      <w:r>
        <w:rPr>
          <w:rFonts w:hint="eastAsia" w:ascii="仿宋_GB2312" w:hAnsi="仿宋_GB2312" w:eastAsia="仿宋_GB2312" w:cs="仿宋_GB2312"/>
          <w:sz w:val="32"/>
          <w:szCs w:val="32"/>
          <w:lang w:eastAsia="zh-CN"/>
        </w:rPr>
        <w:t>、以及新增工作人员的工资及办公费用</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、“三公”经费财政拨款预算安排情况</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年“三公”经费财政拨款预算数</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万元，其中：因公出国（境）经费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万元，公务用车购置及运行维护费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（一）因公出国（境）经费与201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年预算持平。主要原因是</w:t>
      </w:r>
      <w:r>
        <w:rPr>
          <w:rFonts w:hint="eastAsia" w:ascii="仿宋_GB2312" w:hAnsi="仿宋_GB2312" w:eastAsia="仿宋_GB2312" w:cs="仿宋_GB2312"/>
          <w:sz w:val="32"/>
          <w:szCs w:val="32"/>
          <w:lang w:eastAsia="zh-CN"/>
        </w:rPr>
        <w:t>我单位无因公出国（境）事务</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（二）公务接待费较201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我单位新增人员较多，公务接待费是按照在职人员人数下达的预算。</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年公务接待费计划用于公务活动开支的交通费、住宿费、用餐费等。</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（三）公务用车购置及运行维护费较201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年预算下降</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我单位在</w:t>
      </w:r>
      <w:r>
        <w:rPr>
          <w:rFonts w:hint="eastAsia" w:ascii="仿宋_GB2312" w:hAnsi="仿宋_GB2312" w:eastAsia="仿宋_GB2312" w:cs="仿宋_GB2312"/>
          <w:sz w:val="32"/>
          <w:szCs w:val="32"/>
          <w:lang w:val="en-US" w:eastAsia="zh-CN"/>
        </w:rPr>
        <w:t>2016年8月起实施公车改革，单位没持有公务车</w:t>
      </w:r>
      <w:r>
        <w:rPr>
          <w:rFonts w:hint="eastAsia" w:ascii="仿宋_GB2312" w:hAnsi="仿宋_GB2312"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五、政府采购情况说明</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2017年，单位无政府采购计划。</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六、名词解释</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1.财政拨款收入：指省级财政当年拨付的资金。 </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w:t>
      </w:r>
      <w:r>
        <w:rPr>
          <w:rFonts w:hint="eastAsia" w:ascii="仿宋_GB2312" w:hAnsi="仿宋_GB2312" w:eastAsia="仿宋_GB2312" w:cs="仿宋_GB2312"/>
          <w:sz w:val="32"/>
          <w:szCs w:val="32"/>
          <w:lang w:eastAsia="zh-CN"/>
        </w:rPr>
        <w:t>宣传事务</w:t>
      </w:r>
      <w:r>
        <w:rPr>
          <w:rFonts w:hint="eastAsia" w:ascii="仿宋_GB2312" w:hAnsi="仿宋_GB2312" w:eastAsia="仿宋_GB2312" w:cs="仿宋_GB2312"/>
          <w:sz w:val="32"/>
          <w:szCs w:val="32"/>
        </w:rPr>
        <w:t>（款）行政运行（项）：指行政单位的基本支出。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w:t>
      </w:r>
      <w:r>
        <w:rPr>
          <w:rFonts w:hint="eastAsia" w:ascii="仿宋_GB2312" w:hAnsi="仿宋_GB2312" w:eastAsia="仿宋_GB2312" w:cs="仿宋_GB2312"/>
          <w:sz w:val="32"/>
          <w:szCs w:val="32"/>
          <w:lang w:eastAsia="zh-CN"/>
        </w:rPr>
        <w:t>宣传事务</w:t>
      </w:r>
      <w:r>
        <w:rPr>
          <w:rFonts w:hint="eastAsia" w:ascii="仿宋_GB2312" w:hAnsi="仿宋_GB2312" w:eastAsia="仿宋_GB2312" w:cs="仿宋_GB2312"/>
          <w:sz w:val="32"/>
          <w:szCs w:val="32"/>
        </w:rPr>
        <w:t>（款）一般行政管理事务经费（项）：反映行政单位未单独设置项级科目的其他项目支出。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w:t>
      </w:r>
      <w:r>
        <w:rPr>
          <w:rFonts w:hint="eastAsia" w:ascii="仿宋_GB2312" w:hAnsi="仿宋_GB2312" w:eastAsia="仿宋_GB2312" w:cs="仿宋_GB2312"/>
          <w:sz w:val="32"/>
          <w:szCs w:val="32"/>
          <w:lang w:eastAsia="zh-CN"/>
        </w:rPr>
        <w:t>宣传事务</w:t>
      </w:r>
      <w:bookmarkStart w:id="0" w:name="_GoBack"/>
      <w:bookmarkEnd w:id="0"/>
      <w:r>
        <w:rPr>
          <w:rFonts w:hint="eastAsia" w:ascii="仿宋_GB2312" w:hAnsi="仿宋_GB2312" w:eastAsia="仿宋_GB2312" w:cs="仿宋_GB2312"/>
          <w:sz w:val="32"/>
          <w:szCs w:val="32"/>
        </w:rPr>
        <w:t>（款）事业运行（项）：反映事业单位的基本支出。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3.教育（类）进修及培训（款）培训支出（项）：反映单位培训支出。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4.社会保障和就业（类）行政事业单位离退休（款）机关事业单位基本养老保险缴费支出（项）:反映机关事业单位实施养老保险制度由单位缴纳的基本养老保险费支出。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5.医疗卫生与计划生育（类）行政事业单位医疗（款）行政单位医疗（项）:反映财政部门集中安排的行政单位基本医疗保险缴费经费。</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医疗卫生与计划生育（类）行政事业单位医疗（款）事业单位医疗（项）:反映财政部门集中安排的事业单位基本医疗保险缴费经费。</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用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政府采购：各级国家机关、实行预算管理的事业单位和社会团体采取竞争、择优、公正、公平、公开的形式使用财政预算内、外资金等财政性资金，以购买、租赁、委托或雇佣等方式获取货物、工程和服务的行为。</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Lucida Sans Unicode"/>
    <w:panose1 w:val="020F0302020204030204"/>
    <w:charset w:val="00"/>
    <w:family w:val="swiss"/>
    <w:pitch w:val="default"/>
    <w:sig w:usb0="00000000" w:usb1="00000000" w:usb2="00000009" w:usb3="00000000" w:csb0="200001FF" w:csb1="00000000"/>
  </w:font>
  <w:font w:name="Palatino Linotype">
    <w:altName w:val="Book Antiqua"/>
    <w:panose1 w:val="020405020505050303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1A0F3C52" w:usb2="00000010" w:usb3="00000000" w:csb0="0004001F" w:csb1="00000000"/>
  </w:font>
  <w:font w:name="PMingLiU">
    <w:panose1 w:val="02020300000000000000"/>
    <w:charset w:val="88"/>
    <w:family w:val="auto"/>
    <w:pitch w:val="default"/>
    <w:sig w:usb0="00000003" w:usb1="082E0000" w:usb2="00000016" w:usb3="00000000" w:csb0="00100001" w:csb1="00000000"/>
  </w:font>
  <w:font w:name="方正大标宋简体">
    <w:altName w:val="宋体"/>
    <w:panose1 w:val="03000509000000000000"/>
    <w:charset w:val="86"/>
    <w:family w:val="auto"/>
    <w:pitch w:val="default"/>
    <w:sig w:usb0="00000000" w:usb1="00000000" w:usb2="00000000" w:usb3="00000000" w:csb0="00040000" w:csb1="00000000"/>
  </w:font>
  <w:font w:name="Sitka Text">
    <w:altName w:val="PMingLiU"/>
    <w:panose1 w:val="02000505000000020004"/>
    <w:charset w:val="00"/>
    <w:family w:val="auto"/>
    <w:pitch w:val="default"/>
    <w:sig w:usb0="00000000"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Book Antiqua">
    <w:panose1 w:val="02040602050305030304"/>
    <w:charset w:val="00"/>
    <w:family w:val="auto"/>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 w:name="PMingLiU-ExtB">
    <w:altName w:val="PMingLiU"/>
    <w:panose1 w:val="02020500000000000000"/>
    <w:charset w:val="88"/>
    <w:family w:val="auto"/>
    <w:pitch w:val="default"/>
    <w:sig w:usb0="00000000" w:usb1="00000000" w:usb2="00000000" w:usb3="00000000" w:csb0="00100001" w:csb1="00000000"/>
  </w:font>
  <w:font w:name="叶根友行书(繁)08">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13820B28"/>
    <w:rsid w:val="1FE23628"/>
    <w:rsid w:val="32845E86"/>
    <w:rsid w:val="39147A02"/>
    <w:rsid w:val="3CB95E57"/>
    <w:rsid w:val="3DB86996"/>
    <w:rsid w:val="5A9078F5"/>
    <w:rsid w:val="660708AE"/>
    <w:rsid w:val="74B03AEF"/>
    <w:rsid w:val="7642397C"/>
    <w:rsid w:val="767845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qFormat/>
    <w:uiPriority w:val="0"/>
    <w:rPr>
      <w:b/>
      <w:bCs/>
    </w:rPr>
  </w:style>
  <w:style w:type="paragraph" w:customStyle="1" w:styleId="7">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ScaleCrop>false</ScaleCrop>
  <LinksUpToDate>false</LinksUpToDate>
  <CharactersWithSpaces>1157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 γ傲★炎ξ</cp:lastModifiedBy>
  <dcterms:modified xsi:type="dcterms:W3CDTF">2017-11-08T09:31:21Z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