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360" w:lineRule="auto"/>
        <w:ind w:left="0" w:leftChars="0" w:right="0" w:rightChars="0"/>
        <w:jc w:val="center"/>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江油市档案局2016年部门决算编制说明</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一、基本职能及主要工作</w:t>
      </w:r>
    </w:p>
    <w:p>
      <w:pPr>
        <w:pStyle w:val="3"/>
        <w:keepNext w:val="0"/>
        <w:keepLines w:val="0"/>
        <w:pageBreakBefore w:val="0"/>
        <w:widowControl w:val="0"/>
        <w:kinsoku/>
        <w:wordWrap/>
        <w:overflowPunct/>
        <w:topLinePunct w:val="0"/>
        <w:bidi w:val="0"/>
        <w:adjustRightInd w:val="0"/>
        <w:snapToGrid w:val="0"/>
        <w:spacing w:after="0"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（一）主要职能。</w:t>
      </w:r>
      <w:bookmarkStart w:id="0" w:name="_GoBack"/>
      <w:bookmarkEnd w:id="0"/>
    </w:p>
    <w:p>
      <w:pPr>
        <w:pStyle w:val="3"/>
        <w:keepNext w:val="0"/>
        <w:keepLines w:val="0"/>
        <w:pageBreakBefore w:val="0"/>
        <w:widowControl w:val="0"/>
        <w:kinsoku/>
        <w:wordWrap/>
        <w:overflowPunct/>
        <w:topLinePunct w:val="0"/>
        <w:bidi w:val="0"/>
        <w:adjustRightInd w:val="0"/>
        <w:snapToGrid w:val="0"/>
        <w:spacing w:after="0"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市档案局（市档案馆）的主要职能是：</w:t>
      </w:r>
    </w:p>
    <w:p>
      <w:pPr>
        <w:pStyle w:val="3"/>
        <w:keepNext w:val="0"/>
        <w:keepLines w:val="0"/>
        <w:pageBreakBefore w:val="0"/>
        <w:widowControl w:val="0"/>
        <w:kinsoku/>
        <w:wordWrap/>
        <w:overflowPunct/>
        <w:topLinePunct w:val="0"/>
        <w:bidi w:val="0"/>
        <w:adjustRightInd w:val="0"/>
        <w:snapToGrid w:val="0"/>
        <w:spacing w:after="0"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（一）贯彻执行《中华人民共和国档案法》以及党和国家有关档案工作的方针、政策；按照统一领导、分级管理的原则对全市档案工作实行统筹规划、宏观管理。</w:t>
      </w:r>
    </w:p>
    <w:p>
      <w:pPr>
        <w:pStyle w:val="3"/>
        <w:keepNext w:val="0"/>
        <w:keepLines w:val="0"/>
        <w:pageBreakBefore w:val="0"/>
        <w:widowControl w:val="0"/>
        <w:kinsoku/>
        <w:wordWrap/>
        <w:overflowPunct/>
        <w:topLinePunct w:val="0"/>
        <w:bidi w:val="0"/>
        <w:adjustRightInd w:val="0"/>
        <w:snapToGrid w:val="0"/>
        <w:spacing w:after="0"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（二）拟定全市档案工作规章制度及全市档案事业的中长期规划和年度计划；集中统一管理市委和市政府机关团体、乡（镇）等单位的重要档案资料。</w:t>
      </w:r>
    </w:p>
    <w:p>
      <w:pPr>
        <w:pStyle w:val="3"/>
        <w:keepNext w:val="0"/>
        <w:keepLines w:val="0"/>
        <w:pageBreakBefore w:val="0"/>
        <w:widowControl w:val="0"/>
        <w:kinsoku/>
        <w:wordWrap/>
        <w:overflowPunct/>
        <w:topLinePunct w:val="0"/>
        <w:bidi w:val="0"/>
        <w:adjustRightInd w:val="0"/>
        <w:snapToGrid w:val="0"/>
        <w:spacing w:after="0"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（三）依法对全市机关、乡（镇）、团体、企业事业单位和其它组织的档案工作进行组织协调、监督和指导，依法查处违反档案法律法规的行为。</w:t>
      </w:r>
    </w:p>
    <w:p>
      <w:pPr>
        <w:pStyle w:val="3"/>
        <w:keepNext w:val="0"/>
        <w:keepLines w:val="0"/>
        <w:pageBreakBefore w:val="0"/>
        <w:widowControl w:val="0"/>
        <w:kinsoku/>
        <w:wordWrap/>
        <w:overflowPunct/>
        <w:topLinePunct w:val="0"/>
        <w:bidi w:val="0"/>
        <w:adjustRightInd w:val="0"/>
        <w:snapToGrid w:val="0"/>
        <w:spacing w:after="0"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（四）组织指导全市电子文件的归档管理，负责建设和管理电子档案，监督管理全市档案安全保密体系建设。</w:t>
      </w:r>
    </w:p>
    <w:p>
      <w:pPr>
        <w:pStyle w:val="3"/>
        <w:keepNext w:val="0"/>
        <w:keepLines w:val="0"/>
        <w:pageBreakBefore w:val="0"/>
        <w:widowControl w:val="0"/>
        <w:kinsoku/>
        <w:wordWrap/>
        <w:overflowPunct/>
        <w:topLinePunct w:val="0"/>
        <w:bidi w:val="0"/>
        <w:adjustRightInd w:val="0"/>
        <w:snapToGrid w:val="0"/>
        <w:spacing w:after="0"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（五）组织开展全市档案理论、科研、宣传和教育培训工作，指导档案工作人员队伍建设，应用现代化技术进行档案保护，逐步实现档案管理规范化、标准化、科学化。</w:t>
      </w:r>
    </w:p>
    <w:p>
      <w:pPr>
        <w:pStyle w:val="3"/>
        <w:keepNext w:val="0"/>
        <w:keepLines w:val="0"/>
        <w:pageBreakBefore w:val="0"/>
        <w:widowControl w:val="0"/>
        <w:kinsoku/>
        <w:wordWrap/>
        <w:overflowPunct/>
        <w:topLinePunct w:val="0"/>
        <w:bidi w:val="0"/>
        <w:adjustRightInd w:val="0"/>
        <w:snapToGrid w:val="0"/>
        <w:spacing w:after="0"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（六）依法接收、征集市级机关、乡（镇）、团体、事业单位、国有破产企业，其他组织和重要人员各种门类和载体的档案资料，并对进馆档案资料进行整理编目、科学管理、安全保管。</w:t>
      </w:r>
    </w:p>
    <w:p>
      <w:pPr>
        <w:pStyle w:val="3"/>
        <w:keepNext w:val="0"/>
        <w:keepLines w:val="0"/>
        <w:pageBreakBefore w:val="0"/>
        <w:widowControl w:val="0"/>
        <w:kinsoku/>
        <w:wordWrap/>
        <w:overflowPunct/>
        <w:topLinePunct w:val="0"/>
        <w:bidi w:val="0"/>
        <w:adjustRightInd w:val="0"/>
        <w:snapToGrid w:val="0"/>
        <w:spacing w:after="0"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（七）负责对保管期满的档案进行鉴定和销毁，对馆藏破损档案进行抢救、修复。</w:t>
      </w:r>
    </w:p>
    <w:p>
      <w:pPr>
        <w:pStyle w:val="3"/>
        <w:keepNext w:val="0"/>
        <w:keepLines w:val="0"/>
        <w:pageBreakBefore w:val="0"/>
        <w:widowControl w:val="0"/>
        <w:kinsoku/>
        <w:wordWrap/>
        <w:overflowPunct/>
        <w:topLinePunct w:val="0"/>
        <w:bidi w:val="0"/>
        <w:adjustRightInd w:val="0"/>
        <w:snapToGrid w:val="0"/>
        <w:spacing w:after="0"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（八）负责划分馆藏档案开放与控制使用范围，依法向社会开放档案；</w:t>
      </w:r>
    </w:p>
    <w:p>
      <w:pPr>
        <w:pStyle w:val="3"/>
        <w:keepNext w:val="0"/>
        <w:keepLines w:val="0"/>
        <w:pageBreakBefore w:val="0"/>
        <w:widowControl w:val="0"/>
        <w:kinsoku/>
        <w:wordWrap/>
        <w:overflowPunct/>
        <w:topLinePunct w:val="0"/>
        <w:bidi w:val="0"/>
        <w:adjustRightInd w:val="0"/>
        <w:snapToGrid w:val="0"/>
        <w:spacing w:after="0"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（九）依法开展已公开现行文件和政府公开信息的收集、管理和利用服务工作；开放编研档案史料，举办爱国主义教育展览。</w:t>
      </w:r>
    </w:p>
    <w:p>
      <w:pPr>
        <w:pStyle w:val="3"/>
        <w:keepNext w:val="0"/>
        <w:keepLines w:val="0"/>
        <w:pageBreakBefore w:val="0"/>
        <w:widowControl w:val="0"/>
        <w:kinsoku/>
        <w:wordWrap/>
        <w:overflowPunct/>
        <w:topLinePunct w:val="0"/>
        <w:bidi w:val="0"/>
        <w:adjustRightInd w:val="0"/>
        <w:snapToGrid w:val="0"/>
        <w:spacing w:after="0"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（十）组织实施馆藏文件档案信息化建设工作，做好档案信息网络和电子文件信息服务工作。</w:t>
      </w:r>
    </w:p>
    <w:p>
      <w:pPr>
        <w:pStyle w:val="3"/>
        <w:keepNext w:val="0"/>
        <w:keepLines w:val="0"/>
        <w:pageBreakBefore w:val="0"/>
        <w:widowControl w:val="0"/>
        <w:kinsoku/>
        <w:wordWrap/>
        <w:overflowPunct/>
        <w:topLinePunct w:val="0"/>
        <w:bidi w:val="0"/>
        <w:adjustRightInd w:val="0"/>
        <w:snapToGrid w:val="0"/>
        <w:spacing w:after="0"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（十一）组织开展档案学术活动，指导和支持市档案学会工作。</w:t>
      </w:r>
    </w:p>
    <w:p>
      <w:pPr>
        <w:pStyle w:val="3"/>
        <w:keepNext w:val="0"/>
        <w:keepLines w:val="0"/>
        <w:pageBreakBefore w:val="0"/>
        <w:widowControl w:val="0"/>
        <w:kinsoku/>
        <w:wordWrap/>
        <w:overflowPunct/>
        <w:topLinePunct w:val="0"/>
        <w:bidi w:val="0"/>
        <w:adjustRightInd w:val="0"/>
        <w:snapToGrid w:val="0"/>
        <w:spacing w:after="0"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（十二）承办市政府交办的其他事项。</w:t>
      </w:r>
    </w:p>
    <w:p>
      <w:pPr>
        <w:pStyle w:val="3"/>
        <w:keepNext w:val="0"/>
        <w:keepLines w:val="0"/>
        <w:pageBreakBefore w:val="0"/>
        <w:widowControl w:val="0"/>
        <w:kinsoku/>
        <w:wordWrap/>
        <w:overflowPunct/>
        <w:topLinePunct w:val="0"/>
        <w:bidi w:val="0"/>
        <w:adjustRightInd w:val="0"/>
        <w:snapToGrid w:val="0"/>
        <w:spacing w:after="0"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（二）2016年重点工作完成情况。</w:t>
      </w:r>
    </w:p>
    <w:p>
      <w:pPr>
        <w:pStyle w:val="3"/>
        <w:keepNext w:val="0"/>
        <w:keepLines w:val="0"/>
        <w:pageBreakBefore w:val="0"/>
        <w:widowControl w:val="0"/>
        <w:kinsoku/>
        <w:wordWrap/>
        <w:overflowPunct/>
        <w:topLinePunct w:val="0"/>
        <w:bidi w:val="0"/>
        <w:adjustRightInd w:val="0"/>
        <w:snapToGrid w:val="0"/>
        <w:spacing w:after="0"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1、全年共依法接收进馆档案1795卷、19820件、1340 盒，图纸8筒，光盘76张，资料230册。与江油市社科联、民宗局、教体文广局、科工局达成协议，启动地方特色档案建设工程。</w:t>
      </w:r>
    </w:p>
    <w:p>
      <w:pPr>
        <w:pStyle w:val="3"/>
        <w:keepNext w:val="0"/>
        <w:keepLines w:val="0"/>
        <w:pageBreakBefore w:val="0"/>
        <w:widowControl w:val="0"/>
        <w:kinsoku/>
        <w:wordWrap/>
        <w:overflowPunct/>
        <w:topLinePunct w:val="0"/>
        <w:bidi w:val="0"/>
        <w:adjustRightInd w:val="0"/>
        <w:snapToGrid w:val="0"/>
        <w:spacing w:after="0"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2、全年举办全市档案业务知识培训班2期（分乡镇和市级机关），参训人员120人；局派政务服务股股长到城投等单位举办的档案业务培训班讲课，参训人员共计30余人。</w:t>
      </w:r>
    </w:p>
    <w:p>
      <w:pPr>
        <w:pStyle w:val="3"/>
        <w:keepNext w:val="0"/>
        <w:keepLines w:val="0"/>
        <w:pageBreakBefore w:val="0"/>
        <w:widowControl w:val="0"/>
        <w:kinsoku/>
        <w:wordWrap/>
        <w:overflowPunct/>
        <w:topLinePunct w:val="0"/>
        <w:bidi w:val="0"/>
        <w:adjustRightInd w:val="0"/>
        <w:snapToGrid w:val="0"/>
        <w:spacing w:after="0" w:line="360" w:lineRule="auto"/>
        <w:ind w:left="0" w:leftChars="0" w:right="0" w:rightChars="0" w:firstLine="64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3、全年完成纸质档案数字化40个全宗，13614卷、98800件、2649198页，全面完成馆藏存量档案的数字化工作，全面实现了计算机直接查阅档案。</w:t>
      </w:r>
    </w:p>
    <w:p>
      <w:pPr>
        <w:pStyle w:val="3"/>
        <w:keepNext w:val="0"/>
        <w:keepLines w:val="0"/>
        <w:pageBreakBefore w:val="0"/>
        <w:widowControl w:val="0"/>
        <w:kinsoku/>
        <w:wordWrap/>
        <w:overflowPunct/>
        <w:topLinePunct w:val="0"/>
        <w:bidi w:val="0"/>
        <w:adjustRightInd w:val="0"/>
        <w:snapToGrid w:val="0"/>
        <w:spacing w:after="0" w:line="360" w:lineRule="auto"/>
        <w:ind w:left="0" w:leftChars="0" w:right="0" w:rightChars="0" w:firstLine="64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4、编辑出版27万字的《江油档案志（1912-2014）》；开放《走进江油》大型档案陈列展，接待参观者806人次；全年共报送各类信息23篇，其中纪念红军长征胜利80周年撰写的“红军长征在江油的革命烙印”一文被《中国档案报》刊登，《促成川军易帜的傅子东》一文被《今日江油》刊登。</w:t>
      </w:r>
    </w:p>
    <w:p>
      <w:pPr>
        <w:pStyle w:val="3"/>
        <w:keepNext w:val="0"/>
        <w:keepLines w:val="0"/>
        <w:pageBreakBefore w:val="0"/>
        <w:widowControl w:val="0"/>
        <w:kinsoku/>
        <w:wordWrap/>
        <w:overflowPunct/>
        <w:topLinePunct w:val="0"/>
        <w:bidi w:val="0"/>
        <w:adjustRightInd w:val="0"/>
        <w:snapToGrid w:val="0"/>
        <w:spacing w:after="0" w:line="360" w:lineRule="auto"/>
        <w:ind w:left="0" w:leftChars="0" w:right="0" w:rightChars="0" w:firstLine="64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5、上报馆藏国家重点档案信息普查采集表共47个全宗，12574卷，119635件，打印装册目录7本，787页。对市档案馆馆藏抗战档案共8个全宗、134卷进行了认真摸底清查，规范整理条目36个。积极开展节假日预约查档、函电代查等服务，切实做好档案查阅利用服务工作。全年共接待利用者6598人次，提供档案资料4763卷；开展民生异地查档8例。</w:t>
      </w:r>
    </w:p>
    <w:p>
      <w:pPr>
        <w:pStyle w:val="3"/>
        <w:keepNext w:val="0"/>
        <w:keepLines w:val="0"/>
        <w:pageBreakBefore w:val="0"/>
        <w:widowControl w:val="0"/>
        <w:kinsoku/>
        <w:wordWrap/>
        <w:overflowPunct/>
        <w:topLinePunct w:val="0"/>
        <w:bidi w:val="0"/>
        <w:adjustRightInd w:val="0"/>
        <w:snapToGrid w:val="0"/>
        <w:spacing w:after="0" w:line="360" w:lineRule="auto"/>
        <w:ind w:left="0" w:leftChars="0" w:right="0" w:rightChars="0" w:firstLine="64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6、全面抓好创建全国文明城市工作，扎实做好脱贫攻坚工作。</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二、部门概况</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江油市档案局是参照公务员管理的事业单位。内设4个股室，包括：办公室，馆务利用股，政务服务股，保卫股。</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三、收支决算总体情况</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2016年江油市档案局本年收入合计209.96万元，其中：财政拨款收入209.90万元，占99.97%。</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drawing>
          <wp:anchor distT="0" distB="0" distL="114300" distR="114300" simplePos="0" relativeHeight="251659264" behindDoc="0" locked="0" layoutInCell="1" allowOverlap="1">
            <wp:simplePos x="0" y="0"/>
            <wp:positionH relativeFrom="column">
              <wp:posOffset>172720</wp:posOffset>
            </wp:positionH>
            <wp:positionV relativeFrom="paragraph">
              <wp:posOffset>-635</wp:posOffset>
            </wp:positionV>
            <wp:extent cx="4857750" cy="2752725"/>
            <wp:effectExtent l="19050" t="0" r="0" b="0"/>
            <wp:wrapNone/>
            <wp:docPr id="2" name="图片 1" descr="2016年收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2016年收入.png"/>
                    <pic:cNvPicPr>
                      <a:picLocks noChangeAspect="1"/>
                    </pic:cNvPicPr>
                  </pic:nvPicPr>
                  <pic:blipFill>
                    <a:blip r:embed="rId6" cstate="print"/>
                    <a:stretch>
                      <a:fillRect/>
                    </a:stretch>
                  </pic:blipFill>
                  <pic:spPr>
                    <a:xfrm>
                      <a:off x="0" y="0"/>
                      <a:ext cx="4857750" cy="2752725"/>
                    </a:xfrm>
                    <a:prstGeom prst="rect">
                      <a:avLst/>
                    </a:prstGeom>
                  </pic:spPr>
                </pic:pic>
              </a:graphicData>
            </a:graphic>
          </wp:anchor>
        </w:drawing>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2016年江油市档案局本年支出合计206.91万元，其中：基本支出167.41万元，占80.91%；项目支出39.50万元，占19.09%。</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drawing>
          <wp:anchor distT="0" distB="0" distL="114300" distR="114300" simplePos="0" relativeHeight="251661312" behindDoc="0" locked="0" layoutInCell="1" allowOverlap="1">
            <wp:simplePos x="0" y="0"/>
            <wp:positionH relativeFrom="column">
              <wp:posOffset>172720</wp:posOffset>
            </wp:positionH>
            <wp:positionV relativeFrom="paragraph">
              <wp:posOffset>1905</wp:posOffset>
            </wp:positionV>
            <wp:extent cx="4829175" cy="2695575"/>
            <wp:effectExtent l="19050" t="0" r="9525" b="0"/>
            <wp:wrapNone/>
            <wp:docPr id="4" name="图片 3" descr="2016年支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2016年支出.png"/>
                    <pic:cNvPicPr>
                      <a:picLocks noChangeAspect="1"/>
                    </pic:cNvPicPr>
                  </pic:nvPicPr>
                  <pic:blipFill>
                    <a:blip r:embed="rId7" cstate="print"/>
                    <a:stretch>
                      <a:fillRect/>
                    </a:stretch>
                  </pic:blipFill>
                  <pic:spPr>
                    <a:xfrm>
                      <a:off x="0" y="0"/>
                      <a:ext cx="4829175" cy="2695575"/>
                    </a:xfrm>
                    <a:prstGeom prst="rect">
                      <a:avLst/>
                    </a:prstGeom>
                  </pic:spPr>
                </pic:pic>
              </a:graphicData>
            </a:graphic>
          </wp:anchor>
        </w:drawing>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四、财政拨款收支决算情况</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江油市档案局2016年度财政拨款收支总决算收入合计209.90万元，支出合计206.86万元。与2015年相比，财政拨款收入减少210.3万元，下降50.05%、财政拨款支出减少204.27万元，下降49.69%。</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drawing>
          <wp:anchor distT="0" distB="0" distL="114300" distR="114300" simplePos="0" relativeHeight="251663360" behindDoc="0" locked="0" layoutInCell="1" allowOverlap="1">
            <wp:simplePos x="0" y="0"/>
            <wp:positionH relativeFrom="column">
              <wp:posOffset>306070</wp:posOffset>
            </wp:positionH>
            <wp:positionV relativeFrom="paragraph">
              <wp:posOffset>144145</wp:posOffset>
            </wp:positionV>
            <wp:extent cx="5200650" cy="2990850"/>
            <wp:effectExtent l="19050" t="0" r="0" b="0"/>
            <wp:wrapNone/>
            <wp:docPr id="5" name="图片 4" descr="收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收支.png"/>
                    <pic:cNvPicPr>
                      <a:picLocks noChangeAspect="1"/>
                    </pic:cNvPicPr>
                  </pic:nvPicPr>
                  <pic:blipFill>
                    <a:blip r:embed="rId8" cstate="print"/>
                    <a:stretch>
                      <a:fillRect/>
                    </a:stretch>
                  </pic:blipFill>
                  <pic:spPr>
                    <a:xfrm>
                      <a:off x="0" y="0"/>
                      <a:ext cx="5200650" cy="2990850"/>
                    </a:xfrm>
                    <a:prstGeom prst="rect">
                      <a:avLst/>
                    </a:prstGeom>
                  </pic:spPr>
                </pic:pic>
              </a:graphicData>
            </a:graphic>
          </wp:anchor>
        </w:drawing>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五、一般公共预算财政拨款支出决算情况</w:t>
      </w:r>
    </w:p>
    <w:p>
      <w:pPr>
        <w:pStyle w:val="3"/>
        <w:keepNext w:val="0"/>
        <w:keepLines w:val="0"/>
        <w:pageBreakBefore w:val="0"/>
        <w:widowControl w:val="0"/>
        <w:kinsoku/>
        <w:wordWrap/>
        <w:overflowPunct/>
        <w:topLinePunct w:val="0"/>
        <w:bidi w:val="0"/>
        <w:adjustRightInd w:val="0"/>
        <w:snapToGrid w:val="0"/>
        <w:spacing w:after="0"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（一）一般公共预算财政拨款支出决算总体情况</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江油市档案局2016年度一般公共预算财政拨款支出206.86万元，占本年支出合计的99.98%。与2015年相比，一般公共预算财政拨款减少204.27万元，下降49.69%。</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drawing>
          <wp:anchor distT="0" distB="0" distL="114300" distR="114300" simplePos="0" relativeHeight="251665408" behindDoc="0" locked="0" layoutInCell="1" allowOverlap="1">
            <wp:simplePos x="0" y="0"/>
            <wp:positionH relativeFrom="column">
              <wp:posOffset>306070</wp:posOffset>
            </wp:positionH>
            <wp:positionV relativeFrom="paragraph">
              <wp:posOffset>52705</wp:posOffset>
            </wp:positionV>
            <wp:extent cx="5153025" cy="2962275"/>
            <wp:effectExtent l="19050" t="0" r="9525" b="0"/>
            <wp:wrapNone/>
            <wp:docPr id="6" name="图片 5" descr="支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支出.png"/>
                    <pic:cNvPicPr>
                      <a:picLocks noChangeAspect="1"/>
                    </pic:cNvPicPr>
                  </pic:nvPicPr>
                  <pic:blipFill>
                    <a:blip r:embed="rId9" cstate="print"/>
                    <a:stretch>
                      <a:fillRect/>
                    </a:stretch>
                  </pic:blipFill>
                  <pic:spPr>
                    <a:xfrm>
                      <a:off x="0" y="0"/>
                      <a:ext cx="5153025" cy="2962275"/>
                    </a:xfrm>
                    <a:prstGeom prst="rect">
                      <a:avLst/>
                    </a:prstGeom>
                  </pic:spPr>
                </pic:pic>
              </a:graphicData>
            </a:graphic>
          </wp:anchor>
        </w:drawing>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pStyle w:val="3"/>
        <w:keepNext w:val="0"/>
        <w:keepLines w:val="0"/>
        <w:pageBreakBefore w:val="0"/>
        <w:widowControl w:val="0"/>
        <w:kinsoku/>
        <w:wordWrap/>
        <w:overflowPunct/>
        <w:topLinePunct w:val="0"/>
        <w:bidi w:val="0"/>
        <w:adjustRightInd w:val="0"/>
        <w:snapToGrid w:val="0"/>
        <w:spacing w:after="0"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（二）一般公共预算财政拨款支出决算结构情况</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江油市档案局2016年一般公共预算财政拨款支出206.86万元，主要用于以下方面:一般公共服务支出182.92万元，占88.43%；教育支出1.04万元，占0.50%；社会保障和就业支出10.41万元，占5.03%；医疗卫生支出4.19万元，占2.03%；住房保障支出8.30万元，占4.01%。</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drawing>
          <wp:anchor distT="0" distB="0" distL="114300" distR="114300" simplePos="0" relativeHeight="251667456" behindDoc="0" locked="0" layoutInCell="1" allowOverlap="1">
            <wp:simplePos x="0" y="0"/>
            <wp:positionH relativeFrom="column">
              <wp:posOffset>391795</wp:posOffset>
            </wp:positionH>
            <wp:positionV relativeFrom="paragraph">
              <wp:posOffset>-2540</wp:posOffset>
            </wp:positionV>
            <wp:extent cx="5153025" cy="2971800"/>
            <wp:effectExtent l="19050" t="0" r="9525" b="0"/>
            <wp:wrapNone/>
            <wp:docPr id="7" name="图片 6" descr="分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分类.png"/>
                    <pic:cNvPicPr>
                      <a:picLocks noChangeAspect="1"/>
                    </pic:cNvPicPr>
                  </pic:nvPicPr>
                  <pic:blipFill>
                    <a:blip r:embed="rId10" cstate="print"/>
                    <a:stretch>
                      <a:fillRect/>
                    </a:stretch>
                  </pic:blipFill>
                  <pic:spPr>
                    <a:xfrm>
                      <a:off x="0" y="0"/>
                      <a:ext cx="5153025" cy="2971800"/>
                    </a:xfrm>
                    <a:prstGeom prst="rect">
                      <a:avLst/>
                    </a:prstGeom>
                  </pic:spPr>
                </pic:pic>
              </a:graphicData>
            </a:graphic>
          </wp:anchor>
        </w:drawing>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pStyle w:val="3"/>
        <w:keepNext w:val="0"/>
        <w:keepLines w:val="0"/>
        <w:pageBreakBefore w:val="0"/>
        <w:widowControl w:val="0"/>
        <w:kinsoku/>
        <w:wordWrap/>
        <w:overflowPunct/>
        <w:topLinePunct w:val="0"/>
        <w:bidi w:val="0"/>
        <w:adjustRightInd w:val="0"/>
        <w:snapToGrid w:val="0"/>
        <w:spacing w:after="0"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pStyle w:val="3"/>
        <w:keepNext w:val="0"/>
        <w:keepLines w:val="0"/>
        <w:pageBreakBefore w:val="0"/>
        <w:widowControl w:val="0"/>
        <w:kinsoku/>
        <w:wordWrap/>
        <w:overflowPunct/>
        <w:topLinePunct w:val="0"/>
        <w:bidi w:val="0"/>
        <w:adjustRightInd w:val="0"/>
        <w:snapToGrid w:val="0"/>
        <w:spacing w:after="0"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pStyle w:val="3"/>
        <w:keepNext w:val="0"/>
        <w:keepLines w:val="0"/>
        <w:pageBreakBefore w:val="0"/>
        <w:widowControl w:val="0"/>
        <w:kinsoku/>
        <w:wordWrap/>
        <w:overflowPunct/>
        <w:topLinePunct w:val="0"/>
        <w:bidi w:val="0"/>
        <w:adjustRightInd w:val="0"/>
        <w:snapToGrid w:val="0"/>
        <w:spacing w:after="0"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pStyle w:val="3"/>
        <w:keepNext w:val="0"/>
        <w:keepLines w:val="0"/>
        <w:pageBreakBefore w:val="0"/>
        <w:widowControl w:val="0"/>
        <w:kinsoku/>
        <w:wordWrap/>
        <w:overflowPunct/>
        <w:topLinePunct w:val="0"/>
        <w:bidi w:val="0"/>
        <w:adjustRightInd w:val="0"/>
        <w:snapToGrid w:val="0"/>
        <w:spacing w:after="0"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（三）一般公共预算财政拨款支出决算具体情况</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highlight w:val="none"/>
        </w:rPr>
      </w:pPr>
      <w:r>
        <w:rPr>
          <w:rStyle w:val="8"/>
          <w:rFonts w:hint="eastAsia" w:ascii="新宋体" w:hAnsi="新宋体" w:eastAsia="新宋体" w:cs="新宋体"/>
          <w:b w:val="0"/>
          <w:bCs w:val="0"/>
          <w:sz w:val="24"/>
          <w:szCs w:val="24"/>
        </w:rPr>
        <w:t>1.一般公共服务（类）档案事务（款）行政运行（项）:</w:t>
      </w:r>
      <w:r>
        <w:rPr>
          <w:rFonts w:hint="eastAsia" w:ascii="新宋体" w:hAnsi="新宋体" w:eastAsia="新宋体" w:cs="新宋体"/>
          <w:b w:val="0"/>
          <w:bCs w:val="0"/>
          <w:sz w:val="24"/>
          <w:szCs w:val="24"/>
          <w:highlight w:val="none"/>
        </w:rPr>
        <w:t>2016年决算数为143.22万元，完成预算99.27%，决算数小于预算数的主要原因是公车改革，剩余公务用车运行维护费</w:t>
      </w:r>
      <w:r>
        <w:rPr>
          <w:rFonts w:hint="eastAsia" w:ascii="新宋体" w:hAnsi="新宋体" w:eastAsia="新宋体" w:cs="新宋体"/>
          <w:b w:val="0"/>
          <w:bCs w:val="0"/>
          <w:sz w:val="24"/>
          <w:szCs w:val="24"/>
          <w:highlight w:val="none"/>
          <w:lang w:eastAsia="zh-CN"/>
        </w:rPr>
        <w:t>等</w:t>
      </w:r>
      <w:r>
        <w:rPr>
          <w:rFonts w:hint="eastAsia" w:ascii="新宋体" w:hAnsi="新宋体" w:eastAsia="新宋体" w:cs="新宋体"/>
          <w:b w:val="0"/>
          <w:bCs w:val="0"/>
          <w:sz w:val="24"/>
          <w:szCs w:val="24"/>
          <w:highlight w:val="none"/>
        </w:rPr>
        <w:t>。</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Style w:val="8"/>
          <w:rFonts w:hint="eastAsia" w:ascii="新宋体" w:hAnsi="新宋体" w:eastAsia="新宋体" w:cs="新宋体"/>
          <w:b w:val="0"/>
          <w:bCs w:val="0"/>
          <w:sz w:val="24"/>
          <w:szCs w:val="24"/>
        </w:rPr>
        <w:t>2. 一般公共服务（类）档案事务（款）一般行政管理事务（项）:</w:t>
      </w:r>
      <w:r>
        <w:rPr>
          <w:rFonts w:hint="eastAsia" w:ascii="新宋体" w:hAnsi="新宋体" w:eastAsia="新宋体" w:cs="新宋体"/>
          <w:b w:val="0"/>
          <w:bCs w:val="0"/>
          <w:sz w:val="24"/>
          <w:szCs w:val="24"/>
        </w:rPr>
        <w:t>2016年决算数为20.00万元，完成预算100%。</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Style w:val="8"/>
          <w:rFonts w:hint="eastAsia" w:ascii="新宋体" w:hAnsi="新宋体" w:eastAsia="新宋体" w:cs="新宋体"/>
          <w:b w:val="0"/>
          <w:bCs w:val="0"/>
          <w:sz w:val="24"/>
          <w:szCs w:val="24"/>
        </w:rPr>
        <w:t>3. 一般公共服务（类）档案事务（款）档案馆（项）:</w:t>
      </w:r>
      <w:r>
        <w:rPr>
          <w:rFonts w:hint="eastAsia" w:ascii="新宋体" w:hAnsi="新宋体" w:eastAsia="新宋体" w:cs="新宋体"/>
          <w:b w:val="0"/>
          <w:bCs w:val="0"/>
          <w:sz w:val="24"/>
          <w:szCs w:val="24"/>
        </w:rPr>
        <w:t>2016年决算数为11.50万元，完成预算85.19%，决算数小于预算数的主要原因是2016年国家重点档案目录基础体系建设项目未完工，经费结转。</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Style w:val="8"/>
          <w:rFonts w:hint="eastAsia" w:ascii="新宋体" w:hAnsi="新宋体" w:eastAsia="新宋体" w:cs="新宋体"/>
          <w:b w:val="0"/>
          <w:bCs w:val="0"/>
          <w:sz w:val="24"/>
          <w:szCs w:val="24"/>
        </w:rPr>
        <w:t>4.一般公共服务（类）档案事务（款）其他档案事务支出（项）:</w:t>
      </w:r>
      <w:r>
        <w:rPr>
          <w:rFonts w:hint="eastAsia" w:ascii="新宋体" w:hAnsi="新宋体" w:eastAsia="新宋体" w:cs="新宋体"/>
          <w:b w:val="0"/>
          <w:bCs w:val="0"/>
          <w:sz w:val="24"/>
          <w:szCs w:val="24"/>
        </w:rPr>
        <w:t>2016年决算数为8.20万元，完成预算100%。</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Style w:val="8"/>
          <w:rFonts w:hint="eastAsia" w:ascii="新宋体" w:hAnsi="新宋体" w:eastAsia="新宋体" w:cs="新宋体"/>
          <w:b w:val="0"/>
          <w:bCs w:val="0"/>
          <w:sz w:val="24"/>
          <w:szCs w:val="24"/>
        </w:rPr>
        <w:t>5.教育（类）进修及培训（款）培训支出（项）:</w:t>
      </w:r>
      <w:r>
        <w:rPr>
          <w:rFonts w:hint="eastAsia" w:ascii="新宋体" w:hAnsi="新宋体" w:eastAsia="新宋体" w:cs="新宋体"/>
          <w:b w:val="0"/>
          <w:bCs w:val="0"/>
          <w:sz w:val="24"/>
          <w:szCs w:val="24"/>
        </w:rPr>
        <w:t>2016年决算数为1.04万元，完成预算100%。</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Style w:val="8"/>
          <w:rFonts w:hint="eastAsia" w:ascii="新宋体" w:hAnsi="新宋体" w:eastAsia="新宋体" w:cs="新宋体"/>
          <w:b w:val="0"/>
          <w:bCs w:val="0"/>
          <w:sz w:val="24"/>
          <w:szCs w:val="24"/>
        </w:rPr>
        <w:t>6.社会保障和就业（类）行政事业单位离退休（款）机关事业单位基本养老保险缴费（项）:</w:t>
      </w:r>
      <w:r>
        <w:rPr>
          <w:rFonts w:hint="eastAsia" w:ascii="新宋体" w:hAnsi="新宋体" w:eastAsia="新宋体" w:cs="新宋体"/>
          <w:b w:val="0"/>
          <w:bCs w:val="0"/>
          <w:sz w:val="24"/>
          <w:szCs w:val="24"/>
        </w:rPr>
        <w:t>2016年决算数为9.75元，完成预算100%。</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Style w:val="8"/>
          <w:rFonts w:hint="eastAsia" w:ascii="新宋体" w:hAnsi="新宋体" w:eastAsia="新宋体" w:cs="新宋体"/>
          <w:b w:val="0"/>
          <w:bCs w:val="0"/>
          <w:sz w:val="24"/>
          <w:szCs w:val="24"/>
        </w:rPr>
        <w:t>7.社会保障和就业（类）行政事业单位离退休（款）死亡抚恤（项）:</w:t>
      </w:r>
      <w:r>
        <w:rPr>
          <w:rFonts w:hint="eastAsia" w:ascii="新宋体" w:hAnsi="新宋体" w:eastAsia="新宋体" w:cs="新宋体"/>
          <w:b w:val="0"/>
          <w:bCs w:val="0"/>
          <w:sz w:val="24"/>
          <w:szCs w:val="24"/>
        </w:rPr>
        <w:t>2016年决算数为0.66元，完成预算100%。</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Style w:val="8"/>
          <w:rFonts w:hint="eastAsia" w:ascii="新宋体" w:hAnsi="新宋体" w:eastAsia="新宋体" w:cs="新宋体"/>
          <w:b w:val="0"/>
          <w:bCs w:val="0"/>
          <w:sz w:val="24"/>
          <w:szCs w:val="24"/>
        </w:rPr>
        <w:t>8.医疗卫生与计划生育（类）医疗保障（款）行政单位医疗（项）:</w:t>
      </w:r>
      <w:r>
        <w:rPr>
          <w:rFonts w:hint="eastAsia" w:ascii="新宋体" w:hAnsi="新宋体" w:eastAsia="新宋体" w:cs="新宋体"/>
          <w:b w:val="0"/>
          <w:bCs w:val="0"/>
          <w:sz w:val="24"/>
          <w:szCs w:val="24"/>
        </w:rPr>
        <w:t>2016年决算数为4.19万元，完成预算100%。</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9.</w:t>
      </w:r>
      <w:r>
        <w:rPr>
          <w:rStyle w:val="8"/>
          <w:rFonts w:hint="eastAsia" w:ascii="新宋体" w:hAnsi="新宋体" w:eastAsia="新宋体" w:cs="新宋体"/>
          <w:b w:val="0"/>
          <w:bCs w:val="0"/>
          <w:sz w:val="24"/>
          <w:szCs w:val="24"/>
        </w:rPr>
        <w:t>住房保障（类）住房改革（款）住房公积金（项）：</w:t>
      </w:r>
      <w:r>
        <w:rPr>
          <w:rStyle w:val="8"/>
          <w:rFonts w:hint="eastAsia" w:ascii="新宋体" w:hAnsi="新宋体" w:eastAsia="新宋体" w:cs="新宋体"/>
          <w:b w:val="0"/>
          <w:bCs w:val="0"/>
          <w:sz w:val="24"/>
          <w:szCs w:val="24"/>
        </w:rPr>
        <w:t>2016年决算数为8.30万元，完成预算100%。</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六、一般公共预算财政拨款基本支出决算情况</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江油市档案局2016年一般公共预算财政拨款基本支出167.36万元，其中：</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人员经费148.09万元，主要包括：基本工资、津贴补贴、奖金、其他社会保障缴费、机关事业单位基本养老保险缴费、抚恤金、生活补助、奖励金、住房公积金、其他对个人和家庭的补助支出。</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公用经费19.27万元，主要包括：办公费、水费、电费、邮电费、差旅费、培训费、公务接待费、工会经费、福利费、公务用车运行维护费。</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七、“三公”经费财政拨款支出决算情况</w:t>
      </w:r>
    </w:p>
    <w:p>
      <w:pPr>
        <w:keepNext w:val="0"/>
        <w:keepLines w:val="0"/>
        <w:pageBreakBefore w:val="0"/>
        <w:widowControl w:val="0"/>
        <w:kinsoku/>
        <w:wordWrap/>
        <w:overflowPunct/>
        <w:topLinePunct w:val="0"/>
        <w:autoSpaceDE w:val="0"/>
        <w:autoSpaceDN w:val="0"/>
        <w:bidi w:val="0"/>
        <w:adjustRightInd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（一）“三公”经费财政拨款支出决算总体情况说明</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江油市档案局2016年度“三公”经费财政拨款支出决算为2.75万元，完成预算67.73%，其中：公务用车购置及运行维护费支出决算为1.28万元，完成预算64%；公务接待费支出决算为1.47万元，完成预算71.36%。2016年度“三公”经费支出决算数小于预算数的主要原因是公车改革和接待费用下降。</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2016年度“三公”经费财政拨款支出决算数比2015年2.31万元，下降45.65%，其中：公务用车购置及运行维护费支出决算减少1.72万元，下降57.33%；公务接待费支出决算减少0.59万元，下降28.64%。减少的主要原因</w:t>
      </w:r>
      <w:r>
        <w:rPr>
          <w:rFonts w:hint="eastAsia" w:ascii="新宋体" w:hAnsi="新宋体" w:eastAsia="新宋体" w:cs="新宋体"/>
          <w:b w:val="0"/>
          <w:bCs w:val="0"/>
          <w:sz w:val="24"/>
          <w:szCs w:val="24"/>
          <w:lang w:eastAsia="zh-CN"/>
        </w:rPr>
        <w:t>机关各股室</w:t>
      </w:r>
      <w:r>
        <w:rPr>
          <w:rFonts w:hint="eastAsia" w:ascii="新宋体" w:hAnsi="新宋体" w:eastAsia="新宋体" w:cs="新宋体"/>
          <w:b w:val="0"/>
          <w:bCs w:val="0"/>
          <w:sz w:val="24"/>
          <w:szCs w:val="24"/>
        </w:rPr>
        <w:t>贯彻落实中央“八项”规定和省委、市政府“十项”规定精神，加强公务用车管理，规范公务接待活动，减少了相关支出。</w:t>
      </w:r>
    </w:p>
    <w:p>
      <w:pPr>
        <w:keepNext w:val="0"/>
        <w:keepLines w:val="0"/>
        <w:pageBreakBefore w:val="0"/>
        <w:widowControl w:val="0"/>
        <w:kinsoku/>
        <w:wordWrap/>
        <w:overflowPunct/>
        <w:topLinePunct w:val="0"/>
        <w:autoSpaceDE w:val="0"/>
        <w:autoSpaceDN w:val="0"/>
        <w:bidi w:val="0"/>
        <w:adjustRightInd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（二）“三公”经费财政拨款支出决算具体情况说明</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2016年度“三公”经费财政拨款支出决算中，公务用车购置及运行维护费支出决算1.28万元，占46.55%；公务接待费支出决算1.47万元，占53.45%。具体情况如下：</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drawing>
          <wp:anchor distT="0" distB="0" distL="114300" distR="114300" simplePos="0" relativeHeight="251669504" behindDoc="0" locked="0" layoutInCell="1" allowOverlap="1">
            <wp:simplePos x="0" y="0"/>
            <wp:positionH relativeFrom="column">
              <wp:posOffset>153670</wp:posOffset>
            </wp:positionH>
            <wp:positionV relativeFrom="paragraph">
              <wp:posOffset>-198755</wp:posOffset>
            </wp:positionV>
            <wp:extent cx="5172075" cy="2933700"/>
            <wp:effectExtent l="19050" t="0" r="9525" b="0"/>
            <wp:wrapNone/>
            <wp:docPr id="8" name="图片 7" descr="QQ图片201709211444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QQ图片20170921144459.png"/>
                    <pic:cNvPicPr>
                      <a:picLocks noChangeAspect="1"/>
                    </pic:cNvPicPr>
                  </pic:nvPicPr>
                  <pic:blipFill>
                    <a:blip r:embed="rId11" cstate="print"/>
                    <a:stretch>
                      <a:fillRect/>
                    </a:stretch>
                  </pic:blipFill>
                  <pic:spPr>
                    <a:xfrm>
                      <a:off x="0" y="0"/>
                      <a:ext cx="5172075" cy="2933700"/>
                    </a:xfrm>
                    <a:prstGeom prst="rect">
                      <a:avLst/>
                    </a:prstGeom>
                  </pic:spPr>
                </pic:pic>
              </a:graphicData>
            </a:graphic>
          </wp:anchor>
        </w:drawing>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1.公务用车购置及运行维护费</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1、因公出国（境）经费</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2016年我局没有因公出国（境）费用支出。</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2.公务用车购置及运行维护费</w:t>
      </w:r>
    </w:p>
    <w:p>
      <w:pPr>
        <w:keepNext w:val="0"/>
        <w:keepLines w:val="0"/>
        <w:pageBreakBefore w:val="0"/>
        <w:widowControl w:val="0"/>
        <w:numPr>
          <w:ilvl w:val="0"/>
          <w:numId w:val="0"/>
        </w:numPr>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2016年公务用车购置及运行维护费1.28万元,其中：</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公务用车运行维护费支出1.28万元。主要用于1辆公务用车燃油、维修、保险等方面支出，主要保障全市档案业务监督指导、执法检查、调研、档案信息化建设、档案整理和接收等工作开展所需的公务用车燃料费、维修费、过路过桥费、保险费等支出。</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lang w:val="en-US" w:eastAsia="zh-CN"/>
        </w:rPr>
        <w:t>3</w:t>
      </w:r>
      <w:r>
        <w:rPr>
          <w:rFonts w:hint="eastAsia" w:ascii="新宋体" w:hAnsi="新宋体" w:eastAsia="新宋体" w:cs="新宋体"/>
          <w:b w:val="0"/>
          <w:bCs w:val="0"/>
          <w:sz w:val="24"/>
          <w:szCs w:val="24"/>
        </w:rPr>
        <w:t>.公务接待费</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2016年公务接待费1.47万元。主要用于执行公务、开展业务活动开支的交通费、住宿费、用餐费等。国内公务接待20批次，161人，共计支出1.47万元，具体内容包括：接待外省档案局调研共计1858元，接待外市档案局调研交流共计2580元，接待市局及其他州县档案局监督指导及调研交流共计5831元，接待本市乡镇档案移交及脱贫攻坚事宜等共计4436元。</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八、政府性基金预算财政拨款支出决算情况</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江油市档案局2016年无政府性基金预算财政拨款支出。</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九、其他重要事项的情况说明</w:t>
      </w:r>
    </w:p>
    <w:p>
      <w:pPr>
        <w:keepNext w:val="0"/>
        <w:keepLines w:val="0"/>
        <w:pageBreakBefore w:val="0"/>
        <w:widowControl w:val="0"/>
        <w:kinsoku/>
        <w:wordWrap/>
        <w:overflowPunct/>
        <w:topLinePunct w:val="0"/>
        <w:autoSpaceDE w:val="0"/>
        <w:autoSpaceDN w:val="0"/>
        <w:bidi w:val="0"/>
        <w:adjustRightInd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（一）机关运行经费支出情况</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2016年度，江油市档案局机关运行经费支出19.27万元，比2015年增加1.04万元，增长5.7%。</w:t>
      </w:r>
    </w:p>
    <w:p>
      <w:pPr>
        <w:keepNext w:val="0"/>
        <w:keepLines w:val="0"/>
        <w:pageBreakBefore w:val="0"/>
        <w:widowControl w:val="0"/>
        <w:kinsoku/>
        <w:wordWrap/>
        <w:overflowPunct/>
        <w:topLinePunct w:val="0"/>
        <w:autoSpaceDE w:val="0"/>
        <w:autoSpaceDN w:val="0"/>
        <w:bidi w:val="0"/>
        <w:adjustRightInd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（二）国有资产占有使用情况</w:t>
      </w:r>
    </w:p>
    <w:p>
      <w:pPr>
        <w:keepNext w:val="0"/>
        <w:keepLines w:val="0"/>
        <w:pageBreakBefore w:val="0"/>
        <w:widowControl w:val="0"/>
        <w:kinsoku/>
        <w:wordWrap/>
        <w:overflowPunct/>
        <w:topLinePunct w:val="0"/>
        <w:autoSpaceDE w:val="0"/>
        <w:autoSpaceDN w:val="0"/>
        <w:bidi w:val="0"/>
        <w:adjustRightInd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截至2016年12月31日，江油市档案局单价50万元以上通用设备1套，单价100万元以上专用设备2套。</w:t>
      </w:r>
    </w:p>
    <w:p>
      <w:pPr>
        <w:keepNext w:val="0"/>
        <w:keepLines w:val="0"/>
        <w:pageBreakBefore w:val="0"/>
        <w:widowControl w:val="0"/>
        <w:kinsoku/>
        <w:wordWrap/>
        <w:overflowPunct/>
        <w:topLinePunct w:val="0"/>
        <w:autoSpaceDE w:val="0"/>
        <w:autoSpaceDN w:val="0"/>
        <w:bidi w:val="0"/>
        <w:adjustRightInd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w:t>
      </w:r>
      <w:r>
        <w:rPr>
          <w:rFonts w:hint="eastAsia" w:ascii="新宋体" w:hAnsi="新宋体" w:eastAsia="新宋体" w:cs="新宋体"/>
          <w:b w:val="0"/>
          <w:bCs w:val="0"/>
          <w:sz w:val="24"/>
          <w:szCs w:val="24"/>
          <w:lang w:eastAsia="zh-CN"/>
        </w:rPr>
        <w:t>三</w:t>
      </w:r>
      <w:r>
        <w:rPr>
          <w:rFonts w:hint="eastAsia" w:ascii="新宋体" w:hAnsi="新宋体" w:eastAsia="新宋体" w:cs="新宋体"/>
          <w:b w:val="0"/>
          <w:bCs w:val="0"/>
          <w:sz w:val="24"/>
          <w:szCs w:val="24"/>
        </w:rPr>
        <w:t>）预算绩效情况</w:t>
      </w:r>
    </w:p>
    <w:p>
      <w:pPr>
        <w:keepNext w:val="0"/>
        <w:keepLines w:val="0"/>
        <w:pageBreakBefore w:val="0"/>
        <w:widowControl w:val="0"/>
        <w:kinsoku/>
        <w:wordWrap/>
        <w:overflowPunct/>
        <w:topLinePunct w:val="0"/>
        <w:autoSpaceDE w:val="0"/>
        <w:autoSpaceDN w:val="0"/>
        <w:bidi w:val="0"/>
        <w:adjustRightInd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按照预算绩效管理要求，本部门对2016年一般公共预算项目支出开展了绩效目标管理，共编制绩效目标</w:t>
      </w:r>
      <w:r>
        <w:rPr>
          <w:rFonts w:hint="eastAsia" w:ascii="新宋体" w:hAnsi="新宋体" w:eastAsia="新宋体" w:cs="新宋体"/>
          <w:b w:val="0"/>
          <w:bCs w:val="0"/>
          <w:sz w:val="24"/>
          <w:szCs w:val="24"/>
          <w:lang w:val="en-US" w:eastAsia="zh-CN"/>
        </w:rPr>
        <w:t>8</w:t>
      </w:r>
      <w:r>
        <w:rPr>
          <w:rFonts w:hint="eastAsia" w:ascii="新宋体" w:hAnsi="新宋体" w:eastAsia="新宋体" w:cs="新宋体"/>
          <w:b w:val="0"/>
          <w:bCs w:val="0"/>
          <w:sz w:val="24"/>
          <w:szCs w:val="24"/>
        </w:rPr>
        <w:t>个，涉及财政资金3</w:t>
      </w:r>
      <w:r>
        <w:rPr>
          <w:rFonts w:hint="eastAsia" w:ascii="新宋体" w:hAnsi="新宋体" w:eastAsia="新宋体" w:cs="新宋体"/>
          <w:b w:val="0"/>
          <w:bCs w:val="0"/>
          <w:sz w:val="24"/>
          <w:szCs w:val="24"/>
          <w:lang w:val="en-US" w:eastAsia="zh-CN"/>
        </w:rPr>
        <w:t>9</w:t>
      </w:r>
      <w:r>
        <w:rPr>
          <w:rFonts w:hint="eastAsia" w:ascii="新宋体" w:hAnsi="新宋体" w:eastAsia="新宋体" w:cs="新宋体"/>
          <w:b w:val="0"/>
          <w:bCs w:val="0"/>
          <w:sz w:val="24"/>
          <w:szCs w:val="24"/>
        </w:rPr>
        <w:t>.</w:t>
      </w:r>
      <w:r>
        <w:rPr>
          <w:rFonts w:hint="eastAsia" w:ascii="新宋体" w:hAnsi="新宋体" w:eastAsia="新宋体" w:cs="新宋体"/>
          <w:b w:val="0"/>
          <w:bCs w:val="0"/>
          <w:sz w:val="24"/>
          <w:szCs w:val="24"/>
          <w:lang w:val="en-US" w:eastAsia="zh-CN"/>
        </w:rPr>
        <w:t>50</w:t>
      </w:r>
      <w:r>
        <w:rPr>
          <w:rFonts w:hint="eastAsia" w:ascii="新宋体" w:hAnsi="新宋体" w:eastAsia="新宋体" w:cs="新宋体"/>
          <w:b w:val="0"/>
          <w:bCs w:val="0"/>
          <w:sz w:val="24"/>
          <w:szCs w:val="24"/>
        </w:rPr>
        <w:t>万元，覆盖率达到100%。</w:t>
      </w:r>
    </w:p>
    <w:p>
      <w:pPr>
        <w:keepNext w:val="0"/>
        <w:keepLines w:val="0"/>
        <w:pageBreakBefore w:val="0"/>
        <w:widowControl w:val="0"/>
        <w:numPr>
          <w:ilvl w:val="0"/>
          <w:numId w:val="1"/>
        </w:numPr>
        <w:kinsoku/>
        <w:wordWrap/>
        <w:overflowPunct/>
        <w:topLinePunct w:val="0"/>
        <w:autoSpaceDE w:val="0"/>
        <w:autoSpaceDN w:val="0"/>
        <w:bidi w:val="0"/>
        <w:adjustRightInd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政府采购情况</w:t>
      </w:r>
    </w:p>
    <w:p>
      <w:pPr>
        <w:keepNext w:val="0"/>
        <w:keepLines w:val="0"/>
        <w:pageBreakBefore w:val="0"/>
        <w:widowControl w:val="0"/>
        <w:numPr>
          <w:ilvl w:val="0"/>
          <w:numId w:val="0"/>
        </w:numPr>
        <w:kinsoku/>
        <w:wordWrap/>
        <w:overflowPunct/>
        <w:topLinePunct w:val="0"/>
        <w:autoSpaceDE w:val="0"/>
        <w:autoSpaceDN w:val="0"/>
        <w:bidi w:val="0"/>
        <w:adjustRightInd w:val="0"/>
        <w:spacing w:line="360" w:lineRule="auto"/>
        <w:ind w:left="0" w:leftChars="0" w:right="0" w:rightChars="0"/>
        <w:textAlignment w:val="auto"/>
        <w:outlineLvl w:val="9"/>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 xml:space="preserve">    2016年度，本部门无政府采购。</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十、名词解释</w:t>
      </w:r>
    </w:p>
    <w:p>
      <w:pPr>
        <w:pStyle w:val="10"/>
        <w:keepNext w:val="0"/>
        <w:keepLines w:val="0"/>
        <w:pageBreakBefore w:val="0"/>
        <w:widowControl w:val="0"/>
        <w:kinsoku/>
        <w:wordWrap/>
        <w:overflowPunct/>
        <w:topLinePunct w:val="0"/>
        <w:bidi w:val="0"/>
        <w:spacing w:line="360" w:lineRule="auto"/>
        <w:ind w:left="0" w:leftChars="0" w:right="0" w:rightChars="0" w:firstLine="480" w:firstLineChars="200"/>
        <w:jc w:val="both"/>
        <w:textAlignment w:val="auto"/>
        <w:outlineLvl w:val="9"/>
        <w:rPr>
          <w:rFonts w:hint="eastAsia" w:ascii="新宋体" w:hAnsi="新宋体" w:eastAsia="新宋体" w:cs="新宋体"/>
          <w:b w:val="0"/>
          <w:bCs w:val="0"/>
          <w:color w:val="auto"/>
          <w:sz w:val="24"/>
          <w:szCs w:val="24"/>
        </w:rPr>
      </w:pPr>
      <w:r>
        <w:rPr>
          <w:rFonts w:hint="eastAsia" w:ascii="新宋体" w:hAnsi="新宋体" w:eastAsia="新宋体" w:cs="新宋体"/>
          <w:b w:val="0"/>
          <w:bCs w:val="0"/>
          <w:color w:val="auto"/>
          <w:sz w:val="24"/>
          <w:szCs w:val="24"/>
        </w:rPr>
        <w:t xml:space="preserve">1.财政拨款收入：指省级财政当年拨付的资金。 </w:t>
      </w:r>
    </w:p>
    <w:p>
      <w:pPr>
        <w:pStyle w:val="10"/>
        <w:keepNext w:val="0"/>
        <w:keepLines w:val="0"/>
        <w:pageBreakBefore w:val="0"/>
        <w:widowControl w:val="0"/>
        <w:kinsoku/>
        <w:wordWrap/>
        <w:overflowPunct/>
        <w:topLinePunct w:val="0"/>
        <w:bidi w:val="0"/>
        <w:spacing w:line="360" w:lineRule="auto"/>
        <w:ind w:left="0" w:leftChars="0" w:right="0" w:rightChars="0" w:firstLine="480" w:firstLineChars="200"/>
        <w:jc w:val="both"/>
        <w:textAlignment w:val="auto"/>
        <w:outlineLvl w:val="9"/>
        <w:rPr>
          <w:rFonts w:hint="eastAsia" w:ascii="新宋体" w:hAnsi="新宋体" w:eastAsia="新宋体" w:cs="新宋体"/>
          <w:b w:val="0"/>
          <w:bCs w:val="0"/>
          <w:color w:val="auto"/>
          <w:sz w:val="24"/>
          <w:szCs w:val="24"/>
        </w:rPr>
      </w:pPr>
      <w:r>
        <w:rPr>
          <w:rFonts w:hint="eastAsia" w:ascii="新宋体" w:hAnsi="新宋体" w:eastAsia="新宋体" w:cs="新宋体"/>
          <w:b w:val="0"/>
          <w:bCs w:val="0"/>
          <w:color w:val="auto"/>
          <w:sz w:val="24"/>
          <w:szCs w:val="24"/>
        </w:rPr>
        <w:t xml:space="preserve">2.其他收入：指除上述“财政拨款收入”、“事业收入”、“经营收入”等以外的收入。主要是利息收入。 </w:t>
      </w:r>
    </w:p>
    <w:p>
      <w:pPr>
        <w:pStyle w:val="10"/>
        <w:keepNext w:val="0"/>
        <w:keepLines w:val="0"/>
        <w:pageBreakBefore w:val="0"/>
        <w:widowControl w:val="0"/>
        <w:kinsoku/>
        <w:wordWrap/>
        <w:overflowPunct/>
        <w:topLinePunct w:val="0"/>
        <w:bidi w:val="0"/>
        <w:spacing w:line="360" w:lineRule="auto"/>
        <w:ind w:left="0" w:leftChars="0" w:right="0" w:rightChars="0" w:firstLine="480" w:firstLineChars="200"/>
        <w:jc w:val="both"/>
        <w:textAlignment w:val="auto"/>
        <w:outlineLvl w:val="9"/>
        <w:rPr>
          <w:rFonts w:hint="eastAsia" w:ascii="新宋体" w:hAnsi="新宋体" w:eastAsia="新宋体" w:cs="新宋体"/>
          <w:b w:val="0"/>
          <w:bCs w:val="0"/>
          <w:color w:val="auto"/>
          <w:sz w:val="24"/>
          <w:szCs w:val="24"/>
        </w:rPr>
      </w:pPr>
      <w:r>
        <w:rPr>
          <w:rFonts w:hint="eastAsia" w:ascii="新宋体" w:hAnsi="新宋体" w:eastAsia="新宋体" w:cs="新宋体"/>
          <w:b w:val="0"/>
          <w:bCs w:val="0"/>
          <w:color w:val="auto"/>
          <w:sz w:val="24"/>
          <w:szCs w:val="24"/>
        </w:rPr>
        <w:t xml:space="preserve">3.年初结转和结余：指以前年度尚未完成、结转到本年按有关规定继续使用的资金。 </w:t>
      </w:r>
    </w:p>
    <w:p>
      <w:pPr>
        <w:pStyle w:val="10"/>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color w:val="auto"/>
          <w:sz w:val="24"/>
          <w:szCs w:val="24"/>
        </w:rPr>
      </w:pPr>
      <w:r>
        <w:rPr>
          <w:rFonts w:hint="eastAsia" w:ascii="新宋体" w:hAnsi="新宋体" w:eastAsia="新宋体" w:cs="新宋体"/>
          <w:b w:val="0"/>
          <w:bCs w:val="0"/>
          <w:color w:val="auto"/>
          <w:sz w:val="24"/>
          <w:szCs w:val="24"/>
        </w:rPr>
        <w:t>4.一般公共服务（类）档案事务（款）行政运行（项）:指行政单位（包括实行公务员管理的事业单位）的基本支出。</w:t>
      </w:r>
    </w:p>
    <w:p>
      <w:pPr>
        <w:pStyle w:val="10"/>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color w:val="auto"/>
          <w:sz w:val="24"/>
          <w:szCs w:val="24"/>
        </w:rPr>
      </w:pPr>
      <w:r>
        <w:rPr>
          <w:rFonts w:hint="eastAsia" w:ascii="新宋体" w:hAnsi="新宋体" w:eastAsia="新宋体" w:cs="新宋体"/>
          <w:b w:val="0"/>
          <w:bCs w:val="0"/>
          <w:color w:val="auto"/>
          <w:sz w:val="24"/>
          <w:szCs w:val="24"/>
        </w:rPr>
        <w:t>5. 一般公共服务（类）档案事务（款）一般行政管理事务（项）:指行政单位（包括实行公务员管理的事业单位）未单独设置项级科目的其他项目支出。</w:t>
      </w:r>
    </w:p>
    <w:p>
      <w:pPr>
        <w:pStyle w:val="10"/>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color w:val="auto"/>
          <w:sz w:val="24"/>
          <w:szCs w:val="24"/>
        </w:rPr>
      </w:pPr>
      <w:r>
        <w:rPr>
          <w:rFonts w:hint="eastAsia" w:ascii="新宋体" w:hAnsi="新宋体" w:eastAsia="新宋体" w:cs="新宋体"/>
          <w:b w:val="0"/>
          <w:bCs w:val="0"/>
          <w:color w:val="auto"/>
          <w:sz w:val="24"/>
          <w:szCs w:val="24"/>
        </w:rPr>
        <w:t>6. 一般公共服务（类）档案事务（款）档案馆（项）:指中央和地方各级档案馆的支出，包括档案资料征集，档案抢救、保护、编纂、修复、现代化管理，档案信息资源开发、提供、利用，档案馆设备购置、维护，档案陈列展览等方面的支出。</w:t>
      </w:r>
    </w:p>
    <w:p>
      <w:pPr>
        <w:pStyle w:val="10"/>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color w:val="auto"/>
          <w:sz w:val="24"/>
          <w:szCs w:val="24"/>
        </w:rPr>
      </w:pPr>
      <w:r>
        <w:rPr>
          <w:rFonts w:hint="eastAsia" w:ascii="新宋体" w:hAnsi="新宋体" w:eastAsia="新宋体" w:cs="新宋体"/>
          <w:b w:val="0"/>
          <w:bCs w:val="0"/>
          <w:color w:val="auto"/>
          <w:sz w:val="24"/>
          <w:szCs w:val="24"/>
        </w:rPr>
        <w:t>7.一般公共服务（类）档案事务（款）其他档案事务支出（项）:指除4、5、6条项目以外其他用于档案事务方面的支出。</w:t>
      </w:r>
    </w:p>
    <w:p>
      <w:pPr>
        <w:pStyle w:val="10"/>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color w:val="auto"/>
          <w:sz w:val="24"/>
          <w:szCs w:val="24"/>
        </w:rPr>
      </w:pPr>
      <w:r>
        <w:rPr>
          <w:rFonts w:hint="eastAsia" w:ascii="新宋体" w:hAnsi="新宋体" w:eastAsia="新宋体" w:cs="新宋体"/>
          <w:b w:val="0"/>
          <w:bCs w:val="0"/>
          <w:color w:val="auto"/>
          <w:sz w:val="24"/>
          <w:szCs w:val="24"/>
        </w:rPr>
        <w:t>8.教育（类）进修及培训（款）培训支出（项）:指部门安排的用于培训的支出。教育部门的师资培训，党校、行政学院等专业干部教育机构的支出。</w:t>
      </w:r>
    </w:p>
    <w:p>
      <w:pPr>
        <w:pStyle w:val="10"/>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color w:val="auto"/>
          <w:sz w:val="24"/>
          <w:szCs w:val="24"/>
        </w:rPr>
      </w:pPr>
      <w:r>
        <w:rPr>
          <w:rFonts w:hint="eastAsia" w:ascii="新宋体" w:hAnsi="新宋体" w:eastAsia="新宋体" w:cs="新宋体"/>
          <w:b w:val="0"/>
          <w:bCs w:val="0"/>
          <w:color w:val="auto"/>
          <w:sz w:val="24"/>
          <w:szCs w:val="24"/>
        </w:rPr>
        <w:t>9.社会保障和就业（类）行政事业单位离退休（款）机关事业单位基本养老保险缴费（项）:指机关事业单位实施养老保险制度由单位缴纳的基本养老保险费支出。</w:t>
      </w:r>
    </w:p>
    <w:p>
      <w:pPr>
        <w:pStyle w:val="10"/>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color w:val="auto"/>
          <w:sz w:val="24"/>
          <w:szCs w:val="24"/>
        </w:rPr>
      </w:pPr>
      <w:r>
        <w:rPr>
          <w:rFonts w:hint="eastAsia" w:ascii="新宋体" w:hAnsi="新宋体" w:eastAsia="新宋体" w:cs="新宋体"/>
          <w:b w:val="0"/>
          <w:bCs w:val="0"/>
          <w:color w:val="auto"/>
          <w:sz w:val="24"/>
          <w:szCs w:val="24"/>
        </w:rPr>
        <w:t>10.社会保障和就业（类）行政事业单位离退休（款）死亡抚恤（项）:指按规定用于烈士和牺牲、病故人员家属的一次性和定期抚恤金以及丧葬补助费。</w:t>
      </w:r>
    </w:p>
    <w:p>
      <w:pPr>
        <w:pStyle w:val="10"/>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color w:val="auto"/>
          <w:sz w:val="24"/>
          <w:szCs w:val="24"/>
        </w:rPr>
      </w:pPr>
      <w:r>
        <w:rPr>
          <w:rFonts w:hint="eastAsia" w:ascii="新宋体" w:hAnsi="新宋体" w:eastAsia="新宋体" w:cs="新宋体"/>
          <w:b w:val="0"/>
          <w:bCs w:val="0"/>
          <w:color w:val="auto"/>
          <w:sz w:val="24"/>
          <w:szCs w:val="24"/>
        </w:rPr>
        <w:t>11.医疗卫生与计划生育（类）医疗保障（款）行政单位医疗（项）:指财政部门集中安排的行政单位基本医疗保险缴费经费，未参加医疗保险的行政单位的公费医疗经费，按国家规定享受离休人员、红军老战士待遇人员的医疗经费。</w:t>
      </w:r>
    </w:p>
    <w:p>
      <w:pPr>
        <w:pStyle w:val="10"/>
        <w:keepNext w:val="0"/>
        <w:keepLines w:val="0"/>
        <w:pageBreakBefore w:val="0"/>
        <w:widowControl w:val="0"/>
        <w:kinsoku/>
        <w:wordWrap/>
        <w:overflowPunct/>
        <w:topLinePunct w:val="0"/>
        <w:bidi w:val="0"/>
        <w:spacing w:line="360" w:lineRule="auto"/>
        <w:ind w:left="0" w:leftChars="0" w:right="0" w:rightChars="0" w:firstLine="480" w:firstLineChars="200"/>
        <w:jc w:val="both"/>
        <w:textAlignment w:val="auto"/>
        <w:outlineLvl w:val="9"/>
        <w:rPr>
          <w:rFonts w:hint="eastAsia" w:ascii="新宋体" w:hAnsi="新宋体" w:eastAsia="新宋体" w:cs="新宋体"/>
          <w:b w:val="0"/>
          <w:bCs w:val="0"/>
          <w:color w:val="auto"/>
          <w:sz w:val="24"/>
          <w:szCs w:val="24"/>
        </w:rPr>
      </w:pPr>
      <w:r>
        <w:rPr>
          <w:rFonts w:hint="eastAsia" w:ascii="新宋体" w:hAnsi="新宋体" w:eastAsia="新宋体" w:cs="新宋体"/>
          <w:b w:val="0"/>
          <w:bCs w:val="0"/>
          <w:color w:val="auto"/>
          <w:sz w:val="24"/>
          <w:szCs w:val="24"/>
        </w:rPr>
        <w:t>9.住房保障（类）住房改革（款）住房公积金（项）：指行政事业单位按人力资源和社会保障部、财政部规定的基本工资和津贴补贴以及规定比例为职工缴纳的住房公积金。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10.年末结转和结余：指本年度或以前年度预算安排、因客观条件发生变化无法按原计划实施，需延迟到以后年度按有关规定继续使用的资金。</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11.基本支出：指为保障机构正常运转、完成日常工作任务而发生的人员支出和公用支出。</w:t>
      </w:r>
    </w:p>
    <w:p>
      <w:pPr>
        <w:keepNext w:val="0"/>
        <w:keepLines w:val="0"/>
        <w:pageBreakBefore w:val="0"/>
        <w:widowControl w:val="0"/>
        <w:kinsoku/>
        <w:wordWrap/>
        <w:overflowPunct/>
        <w:topLinePunct w:val="0"/>
        <w:bidi w:val="0"/>
        <w:spacing w:line="360" w:lineRule="auto"/>
        <w:ind w:left="0" w:leftChars="0" w:right="0" w:rightChars="0" w:firstLine="480" w:firstLineChars="200"/>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sz w:val="24"/>
          <w:szCs w:val="24"/>
        </w:rPr>
        <w:t xml:space="preserve">12.项目支出：指在基本支出之外为完成特定行政任务和事业发展目标所发生的支出。 </w:t>
      </w:r>
    </w:p>
    <w:p>
      <w:pPr>
        <w:pStyle w:val="10"/>
        <w:keepNext w:val="0"/>
        <w:keepLines w:val="0"/>
        <w:pageBreakBefore w:val="0"/>
        <w:widowControl w:val="0"/>
        <w:kinsoku/>
        <w:wordWrap/>
        <w:overflowPunct/>
        <w:topLinePunct w:val="0"/>
        <w:bidi w:val="0"/>
        <w:spacing w:line="360" w:lineRule="auto"/>
        <w:ind w:left="0" w:leftChars="0" w:right="0" w:rightChars="0" w:firstLine="480" w:firstLineChars="200"/>
        <w:jc w:val="both"/>
        <w:textAlignment w:val="auto"/>
        <w:outlineLvl w:val="9"/>
        <w:rPr>
          <w:rFonts w:hint="eastAsia" w:ascii="新宋体" w:hAnsi="新宋体" w:eastAsia="新宋体" w:cs="新宋体"/>
          <w:b w:val="0"/>
          <w:bCs w:val="0"/>
          <w:color w:val="auto"/>
          <w:sz w:val="24"/>
          <w:szCs w:val="24"/>
        </w:rPr>
      </w:pPr>
      <w:r>
        <w:rPr>
          <w:rFonts w:hint="eastAsia" w:ascii="新宋体" w:hAnsi="新宋体" w:eastAsia="新宋体" w:cs="新宋体"/>
          <w:b w:val="0"/>
          <w:bCs w:val="0"/>
          <w:color w:val="auto"/>
          <w:sz w:val="24"/>
          <w:szCs w:val="24"/>
        </w:rPr>
        <w:t>13.“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10"/>
        <w:keepNext w:val="0"/>
        <w:keepLines w:val="0"/>
        <w:pageBreakBefore w:val="0"/>
        <w:widowControl w:val="0"/>
        <w:kinsoku/>
        <w:wordWrap/>
        <w:overflowPunct/>
        <w:topLinePunct w:val="0"/>
        <w:bidi w:val="0"/>
        <w:spacing w:line="360" w:lineRule="auto"/>
        <w:ind w:left="0" w:leftChars="0" w:right="0" w:rightChars="0" w:firstLine="480" w:firstLineChars="200"/>
        <w:jc w:val="both"/>
        <w:textAlignment w:val="auto"/>
        <w:outlineLvl w:val="9"/>
        <w:rPr>
          <w:rFonts w:hint="eastAsia" w:ascii="新宋体" w:hAnsi="新宋体" w:eastAsia="新宋体" w:cs="新宋体"/>
          <w:b w:val="0"/>
          <w:bCs w:val="0"/>
          <w:sz w:val="24"/>
          <w:szCs w:val="24"/>
        </w:rPr>
      </w:pPr>
      <w:r>
        <w:rPr>
          <w:rFonts w:hint="eastAsia" w:ascii="新宋体" w:hAnsi="新宋体" w:eastAsia="新宋体" w:cs="新宋体"/>
          <w:b w:val="0"/>
          <w:bCs w:val="0"/>
          <w:color w:val="auto"/>
          <w:sz w:val="24"/>
          <w:szCs w:val="24"/>
        </w:rPr>
        <w:t>14.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footerReference r:id="rId3" w:type="default"/>
      <w:footerReference r:id="rId4" w:type="even"/>
      <w:pgSz w:w="11906" w:h="16838"/>
      <w:pgMar w:top="2098" w:right="1247" w:bottom="1871" w:left="1588" w:header="851" w:footer="85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Calisto M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Calisto MT">
    <w:panose1 w:val="02040603050505030304"/>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楷体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altName w:val="Times New Roman"/>
    <w:panose1 w:val="00000000000000000000"/>
    <w:charset w:val="00"/>
    <w:family w:val="roman"/>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A0F3C52" w:usb2="00000016" w:usb3="00000000" w:csb0="0004001F" w:csb1="00000000"/>
  </w:font>
  <w:font w:name="Rockwell Condensed">
    <w:panose1 w:val="020606030504050201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7 -</w:t>
    </w:r>
    <w:r>
      <w:rPr>
        <w:rFonts w:ascii="宋体" w:hAnsi="宋体"/>
        <w:sz w:val="28"/>
        <w:szCs w:val="28"/>
      </w:rPr>
      <w:fldChar w:fldCharType="end"/>
    </w:r>
  </w:p>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630A8"/>
    <w:multiLevelType w:val="singleLevel"/>
    <w:tmpl w:val="5A1630A8"/>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C5A0E79"/>
    <w:rsid w:val="000437A6"/>
    <w:rsid w:val="0007320E"/>
    <w:rsid w:val="00142312"/>
    <w:rsid w:val="0021727F"/>
    <w:rsid w:val="00221147"/>
    <w:rsid w:val="00264F23"/>
    <w:rsid w:val="00277223"/>
    <w:rsid w:val="0027773C"/>
    <w:rsid w:val="002A7BA9"/>
    <w:rsid w:val="002E7F38"/>
    <w:rsid w:val="003138E3"/>
    <w:rsid w:val="003A373F"/>
    <w:rsid w:val="003B1461"/>
    <w:rsid w:val="003D1F57"/>
    <w:rsid w:val="0041653E"/>
    <w:rsid w:val="00420168"/>
    <w:rsid w:val="0047019E"/>
    <w:rsid w:val="0047425E"/>
    <w:rsid w:val="00474D74"/>
    <w:rsid w:val="004840FB"/>
    <w:rsid w:val="004A0D26"/>
    <w:rsid w:val="004C27E0"/>
    <w:rsid w:val="0051668C"/>
    <w:rsid w:val="005229C0"/>
    <w:rsid w:val="00561721"/>
    <w:rsid w:val="005E4117"/>
    <w:rsid w:val="005E472C"/>
    <w:rsid w:val="00691E65"/>
    <w:rsid w:val="006B2FA0"/>
    <w:rsid w:val="00703843"/>
    <w:rsid w:val="0071058E"/>
    <w:rsid w:val="00754AB1"/>
    <w:rsid w:val="007860BE"/>
    <w:rsid w:val="007B3412"/>
    <w:rsid w:val="007D0148"/>
    <w:rsid w:val="007F06B4"/>
    <w:rsid w:val="00811930"/>
    <w:rsid w:val="008445E2"/>
    <w:rsid w:val="00876C42"/>
    <w:rsid w:val="008947C6"/>
    <w:rsid w:val="008F2010"/>
    <w:rsid w:val="00902DFB"/>
    <w:rsid w:val="00971FDF"/>
    <w:rsid w:val="00973D6C"/>
    <w:rsid w:val="00AC5170"/>
    <w:rsid w:val="00AC7844"/>
    <w:rsid w:val="00AD3A3C"/>
    <w:rsid w:val="00AE4DC0"/>
    <w:rsid w:val="00AE6BF0"/>
    <w:rsid w:val="00AF2AE2"/>
    <w:rsid w:val="00B062F7"/>
    <w:rsid w:val="00B24A29"/>
    <w:rsid w:val="00B40900"/>
    <w:rsid w:val="00B4551D"/>
    <w:rsid w:val="00B47801"/>
    <w:rsid w:val="00B824B1"/>
    <w:rsid w:val="00BF59CA"/>
    <w:rsid w:val="00BF7EB1"/>
    <w:rsid w:val="00C244B6"/>
    <w:rsid w:val="00C3671A"/>
    <w:rsid w:val="00CC5AB4"/>
    <w:rsid w:val="00D5235A"/>
    <w:rsid w:val="00D65575"/>
    <w:rsid w:val="00D74EA2"/>
    <w:rsid w:val="00DD2BA4"/>
    <w:rsid w:val="00DE5BA4"/>
    <w:rsid w:val="00E053AA"/>
    <w:rsid w:val="00E46179"/>
    <w:rsid w:val="00E607DC"/>
    <w:rsid w:val="00EE53E3"/>
    <w:rsid w:val="00EE6B9A"/>
    <w:rsid w:val="00F0521E"/>
    <w:rsid w:val="00F21F06"/>
    <w:rsid w:val="00F345A3"/>
    <w:rsid w:val="00F53076"/>
    <w:rsid w:val="00F66A8F"/>
    <w:rsid w:val="00F7728E"/>
    <w:rsid w:val="00F9747B"/>
    <w:rsid w:val="00FA3DFB"/>
    <w:rsid w:val="00FA73AF"/>
    <w:rsid w:val="00FF31AB"/>
    <w:rsid w:val="01574FB4"/>
    <w:rsid w:val="03F577C1"/>
    <w:rsid w:val="0DB84867"/>
    <w:rsid w:val="0EB00A45"/>
    <w:rsid w:val="0EC56035"/>
    <w:rsid w:val="13884AF3"/>
    <w:rsid w:val="27881B9E"/>
    <w:rsid w:val="35AB20A7"/>
    <w:rsid w:val="3B1D18A8"/>
    <w:rsid w:val="3C5A0E79"/>
    <w:rsid w:val="421A5A9F"/>
    <w:rsid w:val="690D6893"/>
    <w:rsid w:val="6C1C13DA"/>
    <w:rsid w:val="6DAC5767"/>
    <w:rsid w:val="763F0745"/>
    <w:rsid w:val="785D2D23"/>
    <w:rsid w:val="795268F8"/>
    <w:rsid w:val="7A752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cs="宋体"/>
      <w:b/>
      <w:bCs/>
      <w:kern w:val="36"/>
      <w:sz w:val="48"/>
      <w:szCs w:val="48"/>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bCs/>
    </w:rPr>
  </w:style>
  <w:style w:type="paragraph" w:customStyle="1" w:styleId="10">
    <w:name w:val="Default"/>
    <w:qFormat/>
    <w:uiPriority w:val="0"/>
    <w:pPr>
      <w:widowControl w:val="0"/>
      <w:autoSpaceDE w:val="0"/>
      <w:autoSpaceDN w:val="0"/>
      <w:adjustRightInd w:val="0"/>
    </w:pPr>
    <w:rPr>
      <w:rFonts w:ascii="楷体_GB2312" w:eastAsia="楷体_GB2312" w:hAnsiTheme="minorHAnsi" w:cstheme="minorBidi"/>
      <w:color w:val="000000"/>
      <w:sz w:val="24"/>
      <w:szCs w:val="24"/>
      <w:lang w:val="en-US" w:eastAsia="zh-CN" w:bidi="ar-SA"/>
    </w:rPr>
  </w:style>
  <w:style w:type="character" w:customStyle="1" w:styleId="11">
    <w:name w:val="页眉 Char"/>
    <w:basedOn w:val="7"/>
    <w:link w:val="6"/>
    <w:qFormat/>
    <w:uiPriority w:val="0"/>
    <w:rPr>
      <w:kern w:val="2"/>
      <w:sz w:val="18"/>
      <w:szCs w:val="18"/>
    </w:rPr>
  </w:style>
  <w:style w:type="character" w:customStyle="1" w:styleId="12">
    <w:name w:val="批注框文本 Char"/>
    <w:basedOn w:val="7"/>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753</Words>
  <Characters>4298</Characters>
  <Lines>35</Lines>
  <Paragraphs>10</Paragraphs>
  <ScaleCrop>false</ScaleCrop>
  <LinksUpToDate>false</LinksUpToDate>
  <CharactersWithSpaces>5041</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2017-09-20T05:57:00Z</dcterms:created>
  <dc:creator>Administrator</dc:creator>
  <cp:lastModifiedBy>Administrator</cp:lastModifiedBy>
  <dcterms:modified xsi:type="dcterms:W3CDTF">2017-11-23T02:25:52Z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